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2FA5" w14:textId="77777777" w:rsidR="00231FDA" w:rsidRPr="00D51B9B" w:rsidRDefault="00231FDA" w:rsidP="00231FDA">
      <w:pPr>
        <w:spacing w:line="240" w:lineRule="auto"/>
        <w:rPr>
          <w:rFonts w:ascii="Arial" w:hAnsi="Arial" w:cs="Arial"/>
          <w:b/>
          <w:sz w:val="24"/>
          <w:szCs w:val="24"/>
          <w:u w:val="single"/>
        </w:rPr>
      </w:pPr>
      <w:r w:rsidRPr="00D51B9B">
        <w:rPr>
          <w:rFonts w:ascii="Arial" w:hAnsi="Arial" w:cs="Arial"/>
          <w:b/>
          <w:sz w:val="24"/>
          <w:szCs w:val="24"/>
          <w:u w:val="single"/>
        </w:rPr>
        <w:t>COMUNICATO STAMPA</w:t>
      </w:r>
    </w:p>
    <w:p w14:paraId="04AA9615" w14:textId="77777777" w:rsidR="00A07FA4" w:rsidRPr="00D31488" w:rsidRDefault="00231FDA" w:rsidP="00D31488">
      <w:pPr>
        <w:spacing w:line="240" w:lineRule="auto"/>
        <w:rPr>
          <w:rFonts w:ascii="Arial" w:hAnsi="Arial" w:cs="Arial"/>
          <w:b/>
          <w:color w:val="000000" w:themeColor="text1"/>
          <w:sz w:val="32"/>
          <w:szCs w:val="32"/>
        </w:rPr>
      </w:pPr>
      <w:r w:rsidRPr="00231FDA">
        <w:rPr>
          <w:rFonts w:ascii="Arial" w:hAnsi="Arial" w:cs="Arial"/>
          <w:b/>
          <w:color w:val="000000" w:themeColor="text1"/>
          <w:sz w:val="16"/>
          <w:szCs w:val="16"/>
        </w:rPr>
        <w:br/>
      </w:r>
      <w:r w:rsidR="00E5110B" w:rsidRPr="00D31488">
        <w:rPr>
          <w:rFonts w:ascii="Arial" w:hAnsi="Arial" w:cs="Arial"/>
          <w:b/>
          <w:color w:val="000000" w:themeColor="text1"/>
          <w:sz w:val="32"/>
          <w:szCs w:val="32"/>
        </w:rPr>
        <w:t xml:space="preserve">Incidenti stradali in Puglia, </w:t>
      </w:r>
      <w:r w:rsidR="00C91D31" w:rsidRPr="00D31488">
        <w:rPr>
          <w:rFonts w:ascii="Arial" w:hAnsi="Arial" w:cs="Arial"/>
          <w:b/>
          <w:color w:val="000000" w:themeColor="text1"/>
          <w:sz w:val="32"/>
          <w:szCs w:val="32"/>
        </w:rPr>
        <w:t xml:space="preserve">per la prima volta </w:t>
      </w:r>
    </w:p>
    <w:p w14:paraId="0F7494E0" w14:textId="1F4C43DA" w:rsidR="00231FDA" w:rsidRPr="00D31488" w:rsidRDefault="00C91D31" w:rsidP="00D31488">
      <w:pPr>
        <w:spacing w:line="240" w:lineRule="auto"/>
        <w:rPr>
          <w:rFonts w:ascii="Arial" w:hAnsi="Arial" w:cs="Arial"/>
          <w:b/>
          <w:color w:val="000000" w:themeColor="text1"/>
          <w:sz w:val="32"/>
          <w:szCs w:val="32"/>
        </w:rPr>
      </w:pPr>
      <w:r w:rsidRPr="00D31488">
        <w:rPr>
          <w:rFonts w:ascii="Arial" w:hAnsi="Arial" w:cs="Arial"/>
          <w:b/>
          <w:color w:val="000000" w:themeColor="text1"/>
          <w:sz w:val="32"/>
          <w:szCs w:val="32"/>
        </w:rPr>
        <w:t>non si registra</w:t>
      </w:r>
      <w:r w:rsidR="00A07FA4" w:rsidRPr="00D31488">
        <w:rPr>
          <w:rFonts w:ascii="Arial" w:hAnsi="Arial" w:cs="Arial"/>
          <w:b/>
          <w:color w:val="000000" w:themeColor="text1"/>
          <w:sz w:val="32"/>
          <w:szCs w:val="32"/>
        </w:rPr>
        <w:t>no aumenti</w:t>
      </w:r>
      <w:r w:rsidR="00231FDA" w:rsidRPr="00D31488">
        <w:rPr>
          <w:rFonts w:ascii="Arial" w:hAnsi="Arial" w:cs="Arial"/>
          <w:b/>
          <w:color w:val="000000" w:themeColor="text1"/>
          <w:sz w:val="32"/>
          <w:szCs w:val="32"/>
        </w:rPr>
        <w:t xml:space="preserve"> </w:t>
      </w:r>
    </w:p>
    <w:p w14:paraId="0680173E" w14:textId="63DCD40D" w:rsidR="00231FDA" w:rsidRDefault="00511B0C" w:rsidP="00231FDA">
      <w:pPr>
        <w:spacing w:line="240" w:lineRule="auto"/>
        <w:rPr>
          <w:rFonts w:ascii="Arial" w:hAnsi="Arial" w:cs="Arial"/>
          <w:bCs/>
          <w:i/>
          <w:iCs/>
          <w:color w:val="000000" w:themeColor="text1"/>
          <w:sz w:val="26"/>
          <w:szCs w:val="26"/>
        </w:rPr>
      </w:pPr>
      <w:r>
        <w:rPr>
          <w:rFonts w:ascii="Arial" w:hAnsi="Arial" w:cs="Arial"/>
          <w:bCs/>
          <w:i/>
          <w:iCs/>
          <w:color w:val="000000" w:themeColor="text1"/>
          <w:sz w:val="26"/>
          <w:szCs w:val="26"/>
        </w:rPr>
        <w:t>Il punto</w:t>
      </w:r>
      <w:r w:rsidR="00E5110B">
        <w:rPr>
          <w:rFonts w:ascii="Arial" w:hAnsi="Arial" w:cs="Arial"/>
          <w:bCs/>
          <w:i/>
          <w:iCs/>
          <w:color w:val="000000" w:themeColor="text1"/>
          <w:sz w:val="26"/>
          <w:szCs w:val="26"/>
        </w:rPr>
        <w:t xml:space="preserve"> semestrale d</w:t>
      </w:r>
      <w:r w:rsidR="00715E6A">
        <w:rPr>
          <w:rFonts w:ascii="Arial" w:hAnsi="Arial" w:cs="Arial"/>
          <w:bCs/>
          <w:i/>
          <w:iCs/>
          <w:color w:val="000000" w:themeColor="text1"/>
          <w:sz w:val="26"/>
          <w:szCs w:val="26"/>
        </w:rPr>
        <w:t>el Cremss-Asset: n</w:t>
      </w:r>
      <w:r w:rsidR="00E5110B" w:rsidRPr="00E5110B">
        <w:rPr>
          <w:rFonts w:ascii="Arial" w:hAnsi="Arial" w:cs="Arial"/>
          <w:bCs/>
          <w:i/>
          <w:iCs/>
          <w:color w:val="000000" w:themeColor="text1"/>
          <w:sz w:val="26"/>
          <w:szCs w:val="26"/>
        </w:rPr>
        <w:t xml:space="preserve">ei primi sei mesi del 2023 </w:t>
      </w:r>
      <w:r w:rsidR="006E1152">
        <w:rPr>
          <w:rFonts w:ascii="Arial" w:hAnsi="Arial" w:cs="Arial"/>
          <w:bCs/>
          <w:i/>
          <w:iCs/>
          <w:color w:val="000000" w:themeColor="text1"/>
          <w:sz w:val="26"/>
          <w:szCs w:val="26"/>
        </w:rPr>
        <w:t xml:space="preserve">dati </w:t>
      </w:r>
      <w:r w:rsidR="00E5110B" w:rsidRPr="00E5110B">
        <w:rPr>
          <w:rFonts w:ascii="Arial" w:hAnsi="Arial" w:cs="Arial"/>
          <w:bCs/>
          <w:i/>
          <w:iCs/>
          <w:color w:val="000000" w:themeColor="text1"/>
          <w:sz w:val="26"/>
          <w:szCs w:val="26"/>
        </w:rPr>
        <w:t xml:space="preserve">in linea con </w:t>
      </w:r>
      <w:r w:rsidR="006E1152">
        <w:rPr>
          <w:rFonts w:ascii="Arial" w:hAnsi="Arial" w:cs="Arial"/>
          <w:bCs/>
          <w:i/>
          <w:iCs/>
          <w:color w:val="000000" w:themeColor="text1"/>
          <w:sz w:val="26"/>
          <w:szCs w:val="26"/>
        </w:rPr>
        <w:t xml:space="preserve">quelli del </w:t>
      </w:r>
      <w:r>
        <w:rPr>
          <w:rFonts w:ascii="Arial" w:hAnsi="Arial" w:cs="Arial"/>
          <w:bCs/>
          <w:i/>
          <w:iCs/>
          <w:color w:val="000000" w:themeColor="text1"/>
          <w:sz w:val="26"/>
          <w:szCs w:val="26"/>
        </w:rPr>
        <w:t>2022</w:t>
      </w:r>
      <w:r w:rsidR="00816CA8">
        <w:rPr>
          <w:rFonts w:ascii="Arial" w:hAnsi="Arial" w:cs="Arial"/>
          <w:bCs/>
          <w:i/>
          <w:iCs/>
          <w:color w:val="000000" w:themeColor="text1"/>
          <w:sz w:val="26"/>
          <w:szCs w:val="26"/>
        </w:rPr>
        <w:t xml:space="preserve">. </w:t>
      </w:r>
      <w:r w:rsidR="006E1152">
        <w:rPr>
          <w:rFonts w:ascii="Arial" w:hAnsi="Arial" w:cs="Arial"/>
          <w:bCs/>
          <w:i/>
          <w:iCs/>
          <w:color w:val="000000" w:themeColor="text1"/>
          <w:sz w:val="26"/>
          <w:szCs w:val="26"/>
        </w:rPr>
        <w:t xml:space="preserve">In totale </w:t>
      </w:r>
      <w:r w:rsidR="00816CA8">
        <w:rPr>
          <w:rFonts w:ascii="Arial" w:hAnsi="Arial" w:cs="Arial"/>
          <w:bCs/>
          <w:i/>
          <w:iCs/>
          <w:color w:val="000000" w:themeColor="text1"/>
          <w:sz w:val="26"/>
          <w:szCs w:val="26"/>
        </w:rPr>
        <w:t xml:space="preserve">4.344 sinistri </w:t>
      </w:r>
      <w:r w:rsidR="00816CA8" w:rsidRPr="00816CA8">
        <w:rPr>
          <w:rFonts w:ascii="Arial" w:hAnsi="Arial" w:cs="Arial"/>
          <w:bCs/>
          <w:i/>
          <w:iCs/>
          <w:color w:val="000000" w:themeColor="text1"/>
          <w:sz w:val="26"/>
          <w:szCs w:val="26"/>
        </w:rPr>
        <w:t>con lesione di cui 82 mortali</w:t>
      </w:r>
      <w:r w:rsidR="009234E0">
        <w:rPr>
          <w:rFonts w:ascii="Arial" w:hAnsi="Arial" w:cs="Arial"/>
          <w:bCs/>
          <w:i/>
          <w:iCs/>
          <w:color w:val="000000" w:themeColor="text1"/>
          <w:sz w:val="26"/>
          <w:szCs w:val="26"/>
        </w:rPr>
        <w:t xml:space="preserve">; </w:t>
      </w:r>
      <w:r w:rsidR="00816CA8" w:rsidRPr="00816CA8">
        <w:rPr>
          <w:rFonts w:ascii="Arial" w:hAnsi="Arial" w:cs="Arial"/>
          <w:bCs/>
          <w:i/>
          <w:iCs/>
          <w:color w:val="000000" w:themeColor="text1"/>
          <w:sz w:val="26"/>
          <w:szCs w:val="26"/>
        </w:rPr>
        <w:t xml:space="preserve">95 persone </w:t>
      </w:r>
      <w:r w:rsidR="009234E0">
        <w:rPr>
          <w:rFonts w:ascii="Arial" w:hAnsi="Arial" w:cs="Arial"/>
          <w:bCs/>
          <w:i/>
          <w:iCs/>
          <w:color w:val="000000" w:themeColor="text1"/>
          <w:sz w:val="26"/>
          <w:szCs w:val="26"/>
        </w:rPr>
        <w:t xml:space="preserve">decedute e </w:t>
      </w:r>
      <w:r w:rsidR="00816CA8" w:rsidRPr="00816CA8">
        <w:rPr>
          <w:rFonts w:ascii="Arial" w:hAnsi="Arial" w:cs="Arial"/>
          <w:bCs/>
          <w:i/>
          <w:iCs/>
          <w:color w:val="000000" w:themeColor="text1"/>
          <w:sz w:val="26"/>
          <w:szCs w:val="26"/>
        </w:rPr>
        <w:t>altre 6.579</w:t>
      </w:r>
      <w:r w:rsidR="009234E0">
        <w:rPr>
          <w:rFonts w:ascii="Arial" w:hAnsi="Arial" w:cs="Arial"/>
          <w:bCs/>
          <w:i/>
          <w:iCs/>
          <w:color w:val="000000" w:themeColor="text1"/>
          <w:sz w:val="26"/>
          <w:szCs w:val="26"/>
        </w:rPr>
        <w:t xml:space="preserve"> ferite</w:t>
      </w:r>
    </w:p>
    <w:p w14:paraId="18493AB4" w14:textId="77777777" w:rsidR="00E5110B" w:rsidRPr="005E1E4B" w:rsidRDefault="00E5110B" w:rsidP="00231FDA">
      <w:pPr>
        <w:spacing w:line="240" w:lineRule="auto"/>
        <w:rPr>
          <w:rFonts w:ascii="Arial" w:hAnsi="Arial" w:cs="Arial"/>
          <w:bCs/>
          <w:i/>
          <w:iCs/>
          <w:color w:val="000000" w:themeColor="text1"/>
          <w:sz w:val="26"/>
          <w:szCs w:val="26"/>
        </w:rPr>
      </w:pPr>
    </w:p>
    <w:p w14:paraId="7879448A" w14:textId="164097BE" w:rsidR="00E5110B" w:rsidRPr="00A07FA4" w:rsidRDefault="00231FDA" w:rsidP="00373C2E">
      <w:pPr>
        <w:rPr>
          <w:rFonts w:ascii="Arial" w:hAnsi="Arial" w:cs="Arial"/>
          <w:bCs/>
          <w:color w:val="000000" w:themeColor="text1"/>
          <w:sz w:val="21"/>
          <w:szCs w:val="21"/>
        </w:rPr>
      </w:pPr>
      <w:r w:rsidRPr="00A07FA4">
        <w:rPr>
          <w:rFonts w:ascii="Arial" w:hAnsi="Arial" w:cs="Arial"/>
          <w:bCs/>
          <w:i/>
          <w:iCs/>
          <w:color w:val="000000" w:themeColor="text1"/>
          <w:sz w:val="21"/>
          <w:szCs w:val="21"/>
        </w:rPr>
        <w:t xml:space="preserve">Bari, </w:t>
      </w:r>
      <w:r w:rsidR="002D5D46" w:rsidRPr="008462DA">
        <w:rPr>
          <w:rFonts w:ascii="Arial" w:hAnsi="Arial" w:cs="Arial"/>
          <w:bCs/>
          <w:i/>
          <w:iCs/>
          <w:color w:val="000000" w:themeColor="text1"/>
          <w:sz w:val="21"/>
          <w:szCs w:val="21"/>
        </w:rPr>
        <w:t>27</w:t>
      </w:r>
      <w:r w:rsidR="009234E0" w:rsidRPr="00A07FA4">
        <w:rPr>
          <w:rFonts w:ascii="Arial" w:hAnsi="Arial" w:cs="Arial"/>
          <w:bCs/>
          <w:i/>
          <w:iCs/>
          <w:color w:val="000000" w:themeColor="text1"/>
          <w:sz w:val="21"/>
          <w:szCs w:val="21"/>
        </w:rPr>
        <w:t xml:space="preserve"> dicembre</w:t>
      </w:r>
      <w:r w:rsidRPr="00A07FA4">
        <w:rPr>
          <w:rFonts w:ascii="Arial" w:hAnsi="Arial" w:cs="Arial"/>
          <w:bCs/>
          <w:i/>
          <w:iCs/>
          <w:color w:val="000000" w:themeColor="text1"/>
          <w:sz w:val="21"/>
          <w:szCs w:val="21"/>
        </w:rPr>
        <w:t xml:space="preserve"> </w:t>
      </w:r>
      <w:r w:rsidR="00182DBD" w:rsidRPr="00A07FA4">
        <w:rPr>
          <w:rFonts w:ascii="Arial" w:hAnsi="Arial" w:cs="Arial"/>
          <w:bCs/>
          <w:i/>
          <w:iCs/>
          <w:color w:val="000000" w:themeColor="text1"/>
          <w:sz w:val="21"/>
          <w:szCs w:val="21"/>
        </w:rPr>
        <w:t>2023</w:t>
      </w:r>
      <w:r w:rsidRPr="00A07FA4">
        <w:rPr>
          <w:rFonts w:ascii="Arial" w:hAnsi="Arial" w:cs="Arial"/>
          <w:bCs/>
          <w:i/>
          <w:iCs/>
          <w:color w:val="000000" w:themeColor="text1"/>
          <w:sz w:val="21"/>
          <w:szCs w:val="21"/>
        </w:rPr>
        <w:t xml:space="preserve"> –</w:t>
      </w:r>
      <w:r w:rsidR="00026FC2" w:rsidRPr="00A07FA4">
        <w:rPr>
          <w:rFonts w:ascii="Arial" w:hAnsi="Arial" w:cs="Arial"/>
          <w:bCs/>
          <w:i/>
          <w:iCs/>
          <w:color w:val="000000" w:themeColor="text1"/>
          <w:sz w:val="21"/>
          <w:szCs w:val="21"/>
        </w:rPr>
        <w:t xml:space="preserve"> </w:t>
      </w:r>
      <w:r w:rsidR="00026FC2" w:rsidRPr="00A07FA4">
        <w:rPr>
          <w:rFonts w:ascii="Arial" w:hAnsi="Arial" w:cs="Arial"/>
          <w:bCs/>
          <w:color w:val="000000" w:themeColor="text1"/>
          <w:sz w:val="21"/>
          <w:szCs w:val="21"/>
        </w:rPr>
        <w:t xml:space="preserve">Per </w:t>
      </w:r>
      <w:r w:rsidR="00C91D31" w:rsidRPr="00A07FA4">
        <w:rPr>
          <w:rFonts w:ascii="Arial" w:hAnsi="Arial" w:cs="Arial"/>
          <w:bCs/>
          <w:color w:val="000000" w:themeColor="text1"/>
          <w:sz w:val="21"/>
          <w:szCs w:val="21"/>
        </w:rPr>
        <w:t>la prima volta</w:t>
      </w:r>
      <w:r w:rsidR="00823849" w:rsidRPr="00A07FA4">
        <w:rPr>
          <w:rFonts w:ascii="Arial" w:hAnsi="Arial" w:cs="Arial"/>
          <w:bCs/>
          <w:color w:val="000000" w:themeColor="text1"/>
          <w:sz w:val="21"/>
          <w:szCs w:val="21"/>
        </w:rPr>
        <w:t xml:space="preserve"> rispetto agli anni del Covid </w:t>
      </w:r>
      <w:r w:rsidR="00D16024" w:rsidRPr="00A07FA4">
        <w:rPr>
          <w:rFonts w:ascii="Arial" w:hAnsi="Arial" w:cs="Arial"/>
          <w:bCs/>
          <w:color w:val="000000" w:themeColor="text1"/>
          <w:sz w:val="21"/>
          <w:szCs w:val="21"/>
        </w:rPr>
        <w:t>(2021-22</w:t>
      </w:r>
      <w:r w:rsidR="00576F74" w:rsidRPr="00A07FA4">
        <w:rPr>
          <w:rFonts w:ascii="Arial" w:hAnsi="Arial" w:cs="Arial"/>
          <w:bCs/>
          <w:color w:val="000000" w:themeColor="text1"/>
          <w:sz w:val="21"/>
          <w:szCs w:val="21"/>
        </w:rPr>
        <w:t xml:space="preserve">) </w:t>
      </w:r>
      <w:r w:rsidR="00026FC2" w:rsidRPr="00A07FA4">
        <w:rPr>
          <w:rFonts w:ascii="Arial" w:hAnsi="Arial" w:cs="Arial"/>
          <w:bCs/>
          <w:color w:val="000000" w:themeColor="text1"/>
          <w:sz w:val="21"/>
          <w:szCs w:val="21"/>
        </w:rPr>
        <w:t xml:space="preserve">gli incidenti stradali in Puglia </w:t>
      </w:r>
      <w:r w:rsidR="00BE5DC2" w:rsidRPr="00A07FA4">
        <w:rPr>
          <w:rFonts w:ascii="Arial" w:hAnsi="Arial" w:cs="Arial"/>
          <w:bCs/>
          <w:color w:val="000000" w:themeColor="text1"/>
          <w:sz w:val="21"/>
          <w:szCs w:val="21"/>
        </w:rPr>
        <w:t xml:space="preserve">non </w:t>
      </w:r>
      <w:r w:rsidR="00823849" w:rsidRPr="00A07FA4">
        <w:rPr>
          <w:rFonts w:ascii="Arial" w:hAnsi="Arial" w:cs="Arial"/>
          <w:bCs/>
          <w:color w:val="000000" w:themeColor="text1"/>
          <w:sz w:val="21"/>
          <w:szCs w:val="21"/>
        </w:rPr>
        <w:t>registrano aumenti</w:t>
      </w:r>
      <w:r w:rsidR="00BE5DC2" w:rsidRPr="00A07FA4">
        <w:rPr>
          <w:rFonts w:ascii="Arial" w:hAnsi="Arial" w:cs="Arial"/>
          <w:bCs/>
          <w:color w:val="000000" w:themeColor="text1"/>
          <w:sz w:val="21"/>
          <w:szCs w:val="21"/>
        </w:rPr>
        <w:t xml:space="preserve">. </w:t>
      </w:r>
      <w:r w:rsidR="00B60E8C" w:rsidRPr="00A07FA4">
        <w:rPr>
          <w:rFonts w:ascii="Arial" w:hAnsi="Arial" w:cs="Arial"/>
          <w:bCs/>
          <w:color w:val="000000" w:themeColor="text1"/>
          <w:sz w:val="21"/>
          <w:szCs w:val="21"/>
        </w:rPr>
        <w:t>La tendenza emerge da</w:t>
      </w:r>
      <w:r w:rsidR="00E5110B" w:rsidRPr="00A07FA4">
        <w:rPr>
          <w:rFonts w:ascii="Arial" w:hAnsi="Arial" w:cs="Arial"/>
          <w:bCs/>
          <w:color w:val="000000" w:themeColor="text1"/>
          <w:sz w:val="21"/>
          <w:szCs w:val="21"/>
        </w:rPr>
        <w:t>i dati provvisori trasmessi all</w:t>
      </w:r>
      <w:r w:rsidR="00715E6A" w:rsidRPr="00A07FA4">
        <w:rPr>
          <w:rFonts w:ascii="Arial" w:hAnsi="Arial" w:cs="Arial"/>
          <w:bCs/>
          <w:color w:val="000000" w:themeColor="text1"/>
          <w:sz w:val="21"/>
          <w:szCs w:val="21"/>
        </w:rPr>
        <w:t>’Asse</w:t>
      </w:r>
      <w:r w:rsidR="009B1CFE" w:rsidRPr="00A07FA4">
        <w:rPr>
          <w:rFonts w:ascii="Arial" w:hAnsi="Arial" w:cs="Arial"/>
          <w:bCs/>
          <w:color w:val="000000" w:themeColor="text1"/>
          <w:sz w:val="21"/>
          <w:szCs w:val="21"/>
        </w:rPr>
        <w:t xml:space="preserve">t - Servizio </w:t>
      </w:r>
      <w:proofErr w:type="spellStart"/>
      <w:r w:rsidR="009B1CFE" w:rsidRPr="00A07FA4">
        <w:rPr>
          <w:rFonts w:ascii="Arial" w:hAnsi="Arial" w:cs="Arial"/>
          <w:bCs/>
          <w:color w:val="000000" w:themeColor="text1"/>
          <w:sz w:val="21"/>
          <w:szCs w:val="21"/>
        </w:rPr>
        <w:t>C</w:t>
      </w:r>
      <w:r w:rsidR="00B60E8C" w:rsidRPr="00A07FA4">
        <w:rPr>
          <w:rFonts w:ascii="Arial" w:hAnsi="Arial" w:cs="Arial"/>
          <w:bCs/>
          <w:color w:val="000000" w:themeColor="text1"/>
          <w:sz w:val="21"/>
          <w:szCs w:val="21"/>
        </w:rPr>
        <w:t>remss</w:t>
      </w:r>
      <w:proofErr w:type="spellEnd"/>
      <w:r w:rsidR="009B1CFE" w:rsidRPr="00A07FA4">
        <w:rPr>
          <w:rFonts w:ascii="Arial" w:hAnsi="Arial" w:cs="Arial"/>
          <w:bCs/>
          <w:color w:val="000000" w:themeColor="text1"/>
          <w:sz w:val="21"/>
          <w:szCs w:val="21"/>
        </w:rPr>
        <w:t xml:space="preserve"> </w:t>
      </w:r>
      <w:r w:rsidR="008A563B">
        <w:rPr>
          <w:rFonts w:ascii="Arial" w:hAnsi="Arial" w:cs="Arial"/>
          <w:bCs/>
          <w:color w:val="000000" w:themeColor="text1"/>
          <w:sz w:val="21"/>
          <w:szCs w:val="21"/>
        </w:rPr>
        <w:t xml:space="preserve">- </w:t>
      </w:r>
      <w:r w:rsidR="00715E6A" w:rsidRPr="00A07FA4">
        <w:rPr>
          <w:rFonts w:ascii="Arial" w:hAnsi="Arial" w:cs="Arial"/>
          <w:bCs/>
          <w:color w:val="000000" w:themeColor="text1"/>
          <w:sz w:val="21"/>
          <w:szCs w:val="21"/>
        </w:rPr>
        <w:t>dalle F</w:t>
      </w:r>
      <w:r w:rsidR="00B60E8C" w:rsidRPr="00A07FA4">
        <w:rPr>
          <w:rFonts w:ascii="Arial" w:hAnsi="Arial" w:cs="Arial"/>
          <w:bCs/>
          <w:color w:val="000000" w:themeColor="text1"/>
          <w:sz w:val="21"/>
          <w:szCs w:val="21"/>
        </w:rPr>
        <w:t>orze dell’ordine</w:t>
      </w:r>
      <w:r w:rsidR="00E5110B" w:rsidRPr="00A07FA4">
        <w:rPr>
          <w:rFonts w:ascii="Arial" w:hAnsi="Arial" w:cs="Arial"/>
          <w:bCs/>
          <w:color w:val="000000" w:themeColor="text1"/>
          <w:sz w:val="21"/>
          <w:szCs w:val="21"/>
        </w:rPr>
        <w:t xml:space="preserve"> </w:t>
      </w:r>
      <w:r w:rsidR="00B60E8C" w:rsidRPr="00A07FA4">
        <w:rPr>
          <w:rFonts w:ascii="Arial" w:hAnsi="Arial" w:cs="Arial"/>
          <w:bCs/>
          <w:color w:val="000000" w:themeColor="text1"/>
          <w:sz w:val="21"/>
          <w:szCs w:val="21"/>
        </w:rPr>
        <w:t>relativi a</w:t>
      </w:r>
      <w:r w:rsidR="00E5110B" w:rsidRPr="00A07FA4">
        <w:rPr>
          <w:rFonts w:ascii="Arial" w:hAnsi="Arial" w:cs="Arial"/>
          <w:bCs/>
          <w:color w:val="000000" w:themeColor="text1"/>
          <w:sz w:val="21"/>
          <w:szCs w:val="21"/>
        </w:rPr>
        <w:t xml:space="preserve">l </w:t>
      </w:r>
      <w:r w:rsidR="00E5110B" w:rsidRPr="00A07FA4">
        <w:rPr>
          <w:rFonts w:ascii="Arial" w:hAnsi="Arial" w:cs="Arial"/>
          <w:b/>
          <w:bCs/>
          <w:color w:val="000000" w:themeColor="text1"/>
          <w:sz w:val="21"/>
          <w:szCs w:val="21"/>
        </w:rPr>
        <w:t>primo semestre 2023</w:t>
      </w:r>
      <w:r w:rsidR="00FD01E7" w:rsidRPr="00A07FA4">
        <w:rPr>
          <w:rFonts w:ascii="Arial" w:hAnsi="Arial" w:cs="Arial"/>
          <w:bCs/>
          <w:color w:val="000000" w:themeColor="text1"/>
          <w:sz w:val="21"/>
          <w:szCs w:val="21"/>
        </w:rPr>
        <w:t>, in cui</w:t>
      </w:r>
      <w:r w:rsidR="00E5110B" w:rsidRPr="00A07FA4">
        <w:rPr>
          <w:rFonts w:ascii="Arial" w:hAnsi="Arial" w:cs="Arial"/>
          <w:bCs/>
          <w:color w:val="000000" w:themeColor="text1"/>
          <w:sz w:val="21"/>
          <w:szCs w:val="21"/>
        </w:rPr>
        <w:t xml:space="preserve"> s</w:t>
      </w:r>
      <w:r w:rsidR="00715E6A" w:rsidRPr="00A07FA4">
        <w:rPr>
          <w:rFonts w:ascii="Arial" w:hAnsi="Arial" w:cs="Arial"/>
          <w:bCs/>
          <w:color w:val="000000" w:themeColor="text1"/>
          <w:sz w:val="21"/>
          <w:szCs w:val="21"/>
        </w:rPr>
        <w:t>i s</w:t>
      </w:r>
      <w:r w:rsidR="00E5110B" w:rsidRPr="00A07FA4">
        <w:rPr>
          <w:rFonts w:ascii="Arial" w:hAnsi="Arial" w:cs="Arial"/>
          <w:bCs/>
          <w:color w:val="000000" w:themeColor="text1"/>
          <w:sz w:val="21"/>
          <w:szCs w:val="21"/>
        </w:rPr>
        <w:t xml:space="preserve">ono </w:t>
      </w:r>
      <w:r w:rsidR="00715E6A" w:rsidRPr="00A07FA4">
        <w:rPr>
          <w:rFonts w:ascii="Arial" w:hAnsi="Arial" w:cs="Arial"/>
          <w:bCs/>
          <w:color w:val="000000" w:themeColor="text1"/>
          <w:sz w:val="21"/>
          <w:szCs w:val="21"/>
        </w:rPr>
        <w:t xml:space="preserve">registrati </w:t>
      </w:r>
      <w:r w:rsidR="00E5110B" w:rsidRPr="00A07FA4">
        <w:rPr>
          <w:rFonts w:ascii="Arial" w:hAnsi="Arial" w:cs="Arial"/>
          <w:bCs/>
          <w:color w:val="000000" w:themeColor="text1"/>
          <w:sz w:val="21"/>
          <w:szCs w:val="21"/>
        </w:rPr>
        <w:t xml:space="preserve">4.344 </w:t>
      </w:r>
      <w:r w:rsidR="00BE5DC2" w:rsidRPr="00A07FA4">
        <w:rPr>
          <w:rFonts w:ascii="Arial" w:hAnsi="Arial" w:cs="Arial"/>
          <w:bCs/>
          <w:color w:val="000000" w:themeColor="text1"/>
          <w:sz w:val="21"/>
          <w:szCs w:val="21"/>
        </w:rPr>
        <w:t>sinistri</w:t>
      </w:r>
      <w:r w:rsidR="00E5110B" w:rsidRPr="00A07FA4">
        <w:rPr>
          <w:rFonts w:ascii="Arial" w:hAnsi="Arial" w:cs="Arial"/>
          <w:bCs/>
          <w:color w:val="000000" w:themeColor="text1"/>
          <w:sz w:val="21"/>
          <w:szCs w:val="21"/>
        </w:rPr>
        <w:t xml:space="preserve"> con lesione di cui 82 mortali (</w:t>
      </w:r>
      <w:r w:rsidR="0035564B" w:rsidRPr="00A07FA4">
        <w:rPr>
          <w:rFonts w:ascii="Arial" w:hAnsi="Arial" w:cs="Arial"/>
          <w:bCs/>
          <w:color w:val="000000" w:themeColor="text1"/>
          <w:sz w:val="21"/>
          <w:szCs w:val="21"/>
        </w:rPr>
        <w:t xml:space="preserve">di cui </w:t>
      </w:r>
      <w:r w:rsidR="00E5110B" w:rsidRPr="00A07FA4">
        <w:rPr>
          <w:rFonts w:ascii="Arial" w:hAnsi="Arial" w:cs="Arial"/>
          <w:bCs/>
          <w:color w:val="000000" w:themeColor="text1"/>
          <w:sz w:val="21"/>
          <w:szCs w:val="21"/>
        </w:rPr>
        <w:t xml:space="preserve">8 plurimortali) che hanno provocato il decesso di 95 persone e il ferimento di </w:t>
      </w:r>
      <w:r w:rsidR="009B1CFE" w:rsidRPr="00A07FA4">
        <w:rPr>
          <w:rFonts w:ascii="Arial" w:hAnsi="Arial" w:cs="Arial"/>
          <w:bCs/>
          <w:color w:val="000000" w:themeColor="text1"/>
          <w:sz w:val="21"/>
          <w:szCs w:val="21"/>
        </w:rPr>
        <w:t>altre 6.579</w:t>
      </w:r>
      <w:r w:rsidR="00E5110B" w:rsidRPr="00A07FA4">
        <w:rPr>
          <w:rFonts w:ascii="Arial" w:hAnsi="Arial" w:cs="Arial"/>
          <w:bCs/>
          <w:color w:val="000000" w:themeColor="text1"/>
          <w:sz w:val="21"/>
          <w:szCs w:val="21"/>
        </w:rPr>
        <w:t xml:space="preserve">. </w:t>
      </w:r>
    </w:p>
    <w:p w14:paraId="5F475658" w14:textId="0907B3D2" w:rsidR="00E5110B" w:rsidRPr="00A07FA4"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Rispetto al primo semes</w:t>
      </w:r>
      <w:r w:rsidR="00FD01E7" w:rsidRPr="00A07FA4">
        <w:rPr>
          <w:rFonts w:ascii="Arial" w:hAnsi="Arial" w:cs="Arial"/>
          <w:bCs/>
          <w:color w:val="000000" w:themeColor="text1"/>
          <w:sz w:val="21"/>
          <w:szCs w:val="21"/>
        </w:rPr>
        <w:t>tre 2022 si tratta</w:t>
      </w:r>
      <w:r w:rsidRPr="00A07FA4">
        <w:rPr>
          <w:rFonts w:ascii="Arial" w:hAnsi="Arial" w:cs="Arial"/>
          <w:bCs/>
          <w:color w:val="000000" w:themeColor="text1"/>
          <w:sz w:val="21"/>
          <w:szCs w:val="21"/>
        </w:rPr>
        <w:t xml:space="preserve"> </w:t>
      </w:r>
      <w:r w:rsidR="00293FA8" w:rsidRPr="00A07FA4">
        <w:rPr>
          <w:rFonts w:ascii="Arial" w:hAnsi="Arial" w:cs="Arial"/>
          <w:bCs/>
          <w:color w:val="000000" w:themeColor="text1"/>
          <w:sz w:val="21"/>
          <w:szCs w:val="21"/>
        </w:rPr>
        <w:t xml:space="preserve">in pratica </w:t>
      </w:r>
      <w:r w:rsidR="00FD01E7" w:rsidRPr="00A07FA4">
        <w:rPr>
          <w:rFonts w:ascii="Arial" w:hAnsi="Arial" w:cs="Arial"/>
          <w:bCs/>
          <w:color w:val="000000" w:themeColor="text1"/>
          <w:sz w:val="21"/>
          <w:szCs w:val="21"/>
        </w:rPr>
        <w:t>del</w:t>
      </w:r>
      <w:r w:rsidRPr="00A07FA4">
        <w:rPr>
          <w:rFonts w:ascii="Arial" w:hAnsi="Arial" w:cs="Arial"/>
          <w:bCs/>
          <w:color w:val="000000" w:themeColor="text1"/>
          <w:sz w:val="21"/>
          <w:szCs w:val="21"/>
        </w:rPr>
        <w:t xml:space="preserve">lo stesso numero di incidenti (1 in più) con un incremento del 3,9% per il numero di feriti. Il numero degli incidenti mortali è diminuito del 3,5% mentre il numero di morti è aumentato di una unità. </w:t>
      </w:r>
    </w:p>
    <w:p w14:paraId="18E94E76" w14:textId="75FE3D41" w:rsidR="006D0554" w:rsidRPr="00A07FA4" w:rsidRDefault="006D0554" w:rsidP="00373C2E">
      <w:pPr>
        <w:rPr>
          <w:rFonts w:ascii="Arial" w:hAnsi="Arial" w:cs="Arial"/>
          <w:bCs/>
          <w:color w:val="000000" w:themeColor="text1"/>
          <w:sz w:val="21"/>
          <w:szCs w:val="21"/>
        </w:rPr>
      </w:pPr>
      <w:r w:rsidRPr="00A07FA4">
        <w:rPr>
          <w:rFonts w:ascii="Arial" w:hAnsi="Arial" w:cs="Arial"/>
          <w:bCs/>
          <w:color w:val="000000" w:themeColor="text1"/>
          <w:sz w:val="21"/>
          <w:szCs w:val="21"/>
        </w:rPr>
        <w:t>Sul tema resta confermato l’impegno dell’Asset e della Regione Puglia verso le iniziative finalizzate a ridurre il più possibile le cause degli incidenti stradali, a cominciare dalla distrazione - causata in primis dall’uso degli smartphone - e dall’eccesso di velocità. Se da un lato si è da poco conclusa la campagna di comunicazione sulla sicurezza stradale “Al volante il cellulare può aspettare”, dall’altro a gennaio riparte il progetto di educazione alla sicurezza stradale “La strada non è una giungla”, rivolto a studenti e insegnanti della scuola secondaria di primo e secondo grado, che v</w:t>
      </w:r>
      <w:r w:rsidR="007A442A" w:rsidRPr="00A07FA4">
        <w:rPr>
          <w:rFonts w:ascii="Arial" w:hAnsi="Arial" w:cs="Arial"/>
          <w:bCs/>
          <w:color w:val="000000" w:themeColor="text1"/>
          <w:sz w:val="21"/>
          <w:szCs w:val="21"/>
        </w:rPr>
        <w:t>ede la partecipazione di oltre 5</w:t>
      </w:r>
      <w:r w:rsidRPr="00A07FA4">
        <w:rPr>
          <w:rFonts w:ascii="Arial" w:hAnsi="Arial" w:cs="Arial"/>
          <w:bCs/>
          <w:color w:val="000000" w:themeColor="text1"/>
          <w:sz w:val="21"/>
          <w:szCs w:val="21"/>
        </w:rPr>
        <w:t xml:space="preserve">0 scuole e </w:t>
      </w:r>
      <w:r w:rsidR="008A563B">
        <w:rPr>
          <w:rFonts w:ascii="Arial" w:hAnsi="Arial" w:cs="Arial"/>
          <w:bCs/>
          <w:color w:val="000000" w:themeColor="text1"/>
          <w:sz w:val="21"/>
          <w:szCs w:val="21"/>
        </w:rPr>
        <w:t>più di</w:t>
      </w:r>
      <w:r w:rsidR="007A442A" w:rsidRPr="00A07FA4">
        <w:rPr>
          <w:rFonts w:ascii="Arial" w:hAnsi="Arial" w:cs="Arial"/>
          <w:bCs/>
          <w:color w:val="000000" w:themeColor="text1"/>
          <w:sz w:val="21"/>
          <w:szCs w:val="21"/>
        </w:rPr>
        <w:t xml:space="preserve"> </w:t>
      </w:r>
      <w:r w:rsidRPr="00A07FA4">
        <w:rPr>
          <w:rFonts w:ascii="Arial" w:hAnsi="Arial" w:cs="Arial"/>
          <w:bCs/>
          <w:color w:val="000000" w:themeColor="text1"/>
          <w:sz w:val="21"/>
          <w:szCs w:val="21"/>
        </w:rPr>
        <w:t xml:space="preserve">5mila studenti. </w:t>
      </w:r>
    </w:p>
    <w:p w14:paraId="0C9A5FB3" w14:textId="1070DF58" w:rsidR="005734B7" w:rsidRPr="00A07FA4" w:rsidRDefault="00A07FA4" w:rsidP="00373C2E">
      <w:pPr>
        <w:rPr>
          <w:rFonts w:ascii="Arial" w:hAnsi="Arial" w:cs="Arial"/>
          <w:b/>
          <w:bCs/>
          <w:color w:val="000000" w:themeColor="text1"/>
          <w:sz w:val="21"/>
          <w:szCs w:val="21"/>
          <w:u w:val="single"/>
        </w:rPr>
      </w:pPr>
      <w:r>
        <w:rPr>
          <w:rFonts w:ascii="Arial" w:hAnsi="Arial" w:cs="Arial"/>
          <w:b/>
          <w:bCs/>
          <w:color w:val="000000" w:themeColor="text1"/>
          <w:sz w:val="21"/>
          <w:szCs w:val="21"/>
          <w:u w:val="single"/>
        </w:rPr>
        <w:br/>
      </w:r>
      <w:r w:rsidR="00BE0E94" w:rsidRPr="00A07FA4">
        <w:rPr>
          <w:rFonts w:ascii="Arial" w:hAnsi="Arial" w:cs="Arial"/>
          <w:b/>
          <w:bCs/>
          <w:color w:val="000000" w:themeColor="text1"/>
          <w:sz w:val="21"/>
          <w:szCs w:val="21"/>
          <w:u w:val="single"/>
        </w:rPr>
        <w:t>I dettagli del primo</w:t>
      </w:r>
      <w:r w:rsidR="005734B7" w:rsidRPr="00A07FA4">
        <w:rPr>
          <w:rFonts w:ascii="Arial" w:hAnsi="Arial" w:cs="Arial"/>
          <w:b/>
          <w:bCs/>
          <w:color w:val="000000" w:themeColor="text1"/>
          <w:sz w:val="21"/>
          <w:szCs w:val="21"/>
          <w:u w:val="single"/>
        </w:rPr>
        <w:t xml:space="preserve"> semestre</w:t>
      </w:r>
    </w:p>
    <w:p w14:paraId="78A4F1C2" w14:textId="293B2901" w:rsidR="00E5110B" w:rsidRPr="00A07FA4" w:rsidRDefault="00CF4754" w:rsidP="00373C2E">
      <w:pPr>
        <w:rPr>
          <w:rFonts w:ascii="Arial" w:hAnsi="Arial" w:cs="Arial"/>
          <w:bCs/>
          <w:color w:val="000000" w:themeColor="text1"/>
          <w:sz w:val="21"/>
          <w:szCs w:val="21"/>
        </w:rPr>
      </w:pPr>
      <w:r w:rsidRPr="00A07FA4">
        <w:rPr>
          <w:rFonts w:ascii="Arial" w:hAnsi="Arial" w:cs="Arial"/>
          <w:bCs/>
          <w:color w:val="000000" w:themeColor="text1"/>
          <w:sz w:val="21"/>
          <w:szCs w:val="21"/>
        </w:rPr>
        <w:t xml:space="preserve">In questo primo </w:t>
      </w:r>
      <w:r w:rsidR="00E5110B" w:rsidRPr="00A07FA4">
        <w:rPr>
          <w:rFonts w:ascii="Arial" w:hAnsi="Arial" w:cs="Arial"/>
          <w:bCs/>
          <w:color w:val="000000" w:themeColor="text1"/>
          <w:sz w:val="21"/>
          <w:szCs w:val="21"/>
        </w:rPr>
        <w:t xml:space="preserve">semestre </w:t>
      </w:r>
      <w:r w:rsidRPr="00A07FA4">
        <w:rPr>
          <w:rFonts w:ascii="Arial" w:hAnsi="Arial" w:cs="Arial"/>
          <w:bCs/>
          <w:color w:val="000000" w:themeColor="text1"/>
          <w:sz w:val="21"/>
          <w:szCs w:val="21"/>
        </w:rPr>
        <w:t>i</w:t>
      </w:r>
      <w:r w:rsidR="00E5110B" w:rsidRPr="00A07FA4">
        <w:rPr>
          <w:rFonts w:ascii="Arial" w:hAnsi="Arial" w:cs="Arial"/>
          <w:bCs/>
          <w:color w:val="000000" w:themeColor="text1"/>
          <w:sz w:val="21"/>
          <w:szCs w:val="21"/>
        </w:rPr>
        <w:t>l 73% dei sinistri ha coinvolto due o più veicoli che hanno causato il 54% dei decessi e il 78% dei feriti; il 17% degli incidenti ha coinvolto un solo veicolo (fuoriuscita) provoca</w:t>
      </w:r>
      <w:r w:rsidR="00775C2D" w:rsidRPr="00A07FA4">
        <w:rPr>
          <w:rFonts w:ascii="Arial" w:hAnsi="Arial" w:cs="Arial"/>
          <w:bCs/>
          <w:color w:val="000000" w:themeColor="text1"/>
          <w:sz w:val="21"/>
          <w:szCs w:val="21"/>
        </w:rPr>
        <w:t>ndo</w:t>
      </w:r>
      <w:r w:rsidR="00E5110B" w:rsidRPr="00A07FA4">
        <w:rPr>
          <w:rFonts w:ascii="Arial" w:hAnsi="Arial" w:cs="Arial"/>
          <w:bCs/>
          <w:color w:val="000000" w:themeColor="text1"/>
          <w:sz w:val="21"/>
          <w:szCs w:val="21"/>
        </w:rPr>
        <w:t xml:space="preserve"> il 40% dei morti e il 15% dei feriti; il 10% dei sinistri ha coinvolto i pedon</w:t>
      </w:r>
      <w:r w:rsidR="00775C2D" w:rsidRPr="00A07FA4">
        <w:rPr>
          <w:rFonts w:ascii="Arial" w:hAnsi="Arial" w:cs="Arial"/>
          <w:bCs/>
          <w:color w:val="000000" w:themeColor="text1"/>
          <w:sz w:val="21"/>
          <w:szCs w:val="21"/>
        </w:rPr>
        <w:t>i registrando il 6% dei morti e</w:t>
      </w:r>
      <w:r w:rsidR="00E5110B" w:rsidRPr="00A07FA4">
        <w:rPr>
          <w:rFonts w:ascii="Arial" w:hAnsi="Arial" w:cs="Arial"/>
          <w:bCs/>
          <w:color w:val="000000" w:themeColor="text1"/>
          <w:sz w:val="21"/>
          <w:szCs w:val="21"/>
        </w:rPr>
        <w:t xml:space="preserve"> il 7% dei feriti. </w:t>
      </w:r>
    </w:p>
    <w:p w14:paraId="06B1E627" w14:textId="77777777" w:rsidR="00E5110B" w:rsidRPr="00A07FA4"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 xml:space="preserve">Il </w:t>
      </w:r>
      <w:r w:rsidRPr="00A07FA4">
        <w:rPr>
          <w:rFonts w:ascii="Arial" w:hAnsi="Arial" w:cs="Arial"/>
          <w:b/>
          <w:bCs/>
          <w:color w:val="000000" w:themeColor="text1"/>
          <w:sz w:val="21"/>
          <w:szCs w:val="21"/>
        </w:rPr>
        <w:t>maggior numero di morti</w:t>
      </w:r>
      <w:r w:rsidRPr="00A07FA4">
        <w:rPr>
          <w:rFonts w:ascii="Arial" w:hAnsi="Arial" w:cs="Arial"/>
          <w:bCs/>
          <w:color w:val="000000" w:themeColor="text1"/>
          <w:sz w:val="21"/>
          <w:szCs w:val="21"/>
        </w:rPr>
        <w:t xml:space="preserve"> si è registrato nella Città metropolitana di Bari con il 29%, seguita dalla provincia di Foggia e dalla provincia di Taranto con il 22%. </w:t>
      </w:r>
    </w:p>
    <w:p w14:paraId="71D70CE7" w14:textId="37EAA0B4" w:rsidR="00E5110B" w:rsidRPr="00A07FA4"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 xml:space="preserve">Rispetto allo stesso periodo del 2022, si è registrato un incremento dei sinistri pari al 3,0% nella città metropolitana di Bari, del 2,6% nella provincia di Taranto e dello 0,9% nella provincia di Foggia; si registrano decrementi di incidentalità stradale nella provincia di </w:t>
      </w:r>
      <w:r w:rsidR="008A563B">
        <w:rPr>
          <w:rFonts w:ascii="Arial" w:hAnsi="Arial" w:cs="Arial"/>
          <w:bCs/>
          <w:color w:val="000000" w:themeColor="text1"/>
          <w:sz w:val="21"/>
          <w:szCs w:val="21"/>
        </w:rPr>
        <w:t xml:space="preserve">BAT (-8,8%), </w:t>
      </w:r>
      <w:r w:rsidRPr="00A07FA4">
        <w:rPr>
          <w:rFonts w:ascii="Arial" w:hAnsi="Arial" w:cs="Arial"/>
          <w:bCs/>
          <w:color w:val="000000" w:themeColor="text1"/>
          <w:sz w:val="21"/>
          <w:szCs w:val="21"/>
        </w:rPr>
        <w:t>Lecce</w:t>
      </w:r>
      <w:r w:rsidR="008A563B">
        <w:rPr>
          <w:rFonts w:ascii="Arial" w:hAnsi="Arial" w:cs="Arial"/>
          <w:bCs/>
          <w:color w:val="000000" w:themeColor="text1"/>
          <w:sz w:val="21"/>
          <w:szCs w:val="21"/>
        </w:rPr>
        <w:t xml:space="preserve"> </w:t>
      </w:r>
      <w:r w:rsidRPr="00A07FA4">
        <w:rPr>
          <w:rFonts w:ascii="Arial" w:hAnsi="Arial" w:cs="Arial"/>
          <w:bCs/>
          <w:color w:val="000000" w:themeColor="text1"/>
          <w:sz w:val="21"/>
          <w:szCs w:val="21"/>
        </w:rPr>
        <w:t xml:space="preserve">(-3,6%) e Brindisi (-0,4%). </w:t>
      </w:r>
    </w:p>
    <w:p w14:paraId="25FF2F04" w14:textId="43BC6E07" w:rsidR="00E5110B" w:rsidRPr="00A07FA4"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 xml:space="preserve">Per quanto riguarda la </w:t>
      </w:r>
      <w:r w:rsidRPr="00A07FA4">
        <w:rPr>
          <w:rFonts w:ascii="Arial" w:hAnsi="Arial" w:cs="Arial"/>
          <w:b/>
          <w:bCs/>
          <w:color w:val="000000" w:themeColor="text1"/>
          <w:sz w:val="21"/>
          <w:szCs w:val="21"/>
        </w:rPr>
        <w:t>distribuzione dei sinistri</w:t>
      </w:r>
      <w:r w:rsidRPr="00A07FA4">
        <w:rPr>
          <w:rFonts w:ascii="Arial" w:hAnsi="Arial" w:cs="Arial"/>
          <w:bCs/>
          <w:color w:val="000000" w:themeColor="text1"/>
          <w:sz w:val="21"/>
          <w:szCs w:val="21"/>
        </w:rPr>
        <w:t xml:space="preserve"> stradali nei comuni della Puglia</w:t>
      </w:r>
      <w:r w:rsidR="00D82382" w:rsidRPr="00A07FA4">
        <w:rPr>
          <w:rFonts w:ascii="Arial" w:hAnsi="Arial" w:cs="Arial"/>
          <w:bCs/>
          <w:color w:val="000000" w:themeColor="text1"/>
          <w:sz w:val="21"/>
          <w:szCs w:val="21"/>
        </w:rPr>
        <w:t>,</w:t>
      </w:r>
      <w:r w:rsidRPr="00A07FA4">
        <w:rPr>
          <w:rFonts w:ascii="Arial" w:hAnsi="Arial" w:cs="Arial"/>
          <w:bCs/>
          <w:color w:val="000000" w:themeColor="text1"/>
          <w:sz w:val="21"/>
          <w:szCs w:val="21"/>
        </w:rPr>
        <w:t xml:space="preserve"> nel corso del primo semestre 2023 è emerso che in 41 comuni dei 257 della regione non sono stati rilevati sinistri stradali con morti e feriti e in 132 comuni sono stati registrati da 1 a 10 sinistri. I comuni che hanno rilevato da 11 a 30 sinistri sono stati 55 mentre in 16 comuni sono stati registrati da 31 a 60 incidenti. Nei restanti 13 comuni si è concentrato il 50% dell’incidentalità registrata su tutta la regione. In particolare il comune di Bari ha registrato 732 sinistri, Taranto 293, Lecce 235, Foggia 186, Brindisi 144, Barletta 133, Cerignola 74, San Severo 73, Monopoli 69, Trani 68, Bitonto 64, Andria 63 e Altamura 61. Il maggior numero di sinistri mortali è stato registrato nel </w:t>
      </w:r>
      <w:r w:rsidRPr="00A07FA4">
        <w:rPr>
          <w:rFonts w:ascii="Arial" w:hAnsi="Arial" w:cs="Arial"/>
          <w:bCs/>
          <w:color w:val="000000" w:themeColor="text1"/>
          <w:sz w:val="21"/>
          <w:szCs w:val="21"/>
        </w:rPr>
        <w:lastRenderedPageBreak/>
        <w:t xml:space="preserve">comune di Taranto con 5 sinistri e 5 morti, seguita da Laterza con 4 sinistri e 6 morti, Cerignola e Nardò 4 sinistri e 4 morti, Bari e Foggia con 3 sinistri e 3 morti.   </w:t>
      </w:r>
    </w:p>
    <w:p w14:paraId="34929CAD" w14:textId="132D484D" w:rsidR="00E5110B" w:rsidRPr="00A07FA4"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 xml:space="preserve">Il 71% dei sinistri è avvenuto all’interno dei centri abitati e sono stati </w:t>
      </w:r>
      <w:r w:rsidR="00D55DBE" w:rsidRPr="00A07FA4">
        <w:rPr>
          <w:rFonts w:ascii="Arial" w:hAnsi="Arial" w:cs="Arial"/>
          <w:bCs/>
          <w:color w:val="000000" w:themeColor="text1"/>
          <w:sz w:val="21"/>
          <w:szCs w:val="21"/>
        </w:rPr>
        <w:t>registrati il 25% dei decessi e</w:t>
      </w:r>
      <w:r w:rsidRPr="00A07FA4">
        <w:rPr>
          <w:rFonts w:ascii="Arial" w:hAnsi="Arial" w:cs="Arial"/>
          <w:bCs/>
          <w:color w:val="000000" w:themeColor="text1"/>
          <w:sz w:val="21"/>
          <w:szCs w:val="21"/>
        </w:rPr>
        <w:t xml:space="preserve"> il 67% dei feriti; in ambito extraurbano </w:t>
      </w:r>
      <w:r w:rsidR="002E4E2F" w:rsidRPr="00A07FA4">
        <w:rPr>
          <w:rFonts w:ascii="Arial" w:hAnsi="Arial" w:cs="Arial"/>
          <w:bCs/>
          <w:color w:val="000000" w:themeColor="text1"/>
          <w:sz w:val="21"/>
          <w:szCs w:val="21"/>
        </w:rPr>
        <w:t xml:space="preserve">è avvenuto </w:t>
      </w:r>
      <w:r w:rsidRPr="00A07FA4">
        <w:rPr>
          <w:rFonts w:ascii="Arial" w:hAnsi="Arial" w:cs="Arial"/>
          <w:bCs/>
          <w:color w:val="000000" w:themeColor="text1"/>
          <w:sz w:val="21"/>
          <w:szCs w:val="21"/>
        </w:rPr>
        <w:t>il 29% dei</w:t>
      </w:r>
      <w:r w:rsidR="002E4E2F" w:rsidRPr="00A07FA4">
        <w:rPr>
          <w:rFonts w:ascii="Arial" w:hAnsi="Arial" w:cs="Arial"/>
          <w:bCs/>
          <w:color w:val="000000" w:themeColor="text1"/>
          <w:sz w:val="21"/>
          <w:szCs w:val="21"/>
        </w:rPr>
        <w:t xml:space="preserve"> sinistri, il 75% dei decessi e</w:t>
      </w:r>
      <w:r w:rsidRPr="00A07FA4">
        <w:rPr>
          <w:rFonts w:ascii="Arial" w:hAnsi="Arial" w:cs="Arial"/>
          <w:bCs/>
          <w:color w:val="000000" w:themeColor="text1"/>
          <w:sz w:val="21"/>
          <w:szCs w:val="21"/>
        </w:rPr>
        <w:t xml:space="preserve"> il 33% dei feriti. </w:t>
      </w:r>
    </w:p>
    <w:p w14:paraId="779170A9" w14:textId="67F9FEB1" w:rsidR="00E5110B" w:rsidRPr="00A07FA4"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 xml:space="preserve">Le strade provinciali </w:t>
      </w:r>
      <w:r w:rsidR="00164D64" w:rsidRPr="00A07FA4">
        <w:rPr>
          <w:rFonts w:ascii="Arial" w:hAnsi="Arial" w:cs="Arial"/>
          <w:bCs/>
          <w:color w:val="000000" w:themeColor="text1"/>
          <w:sz w:val="21"/>
          <w:szCs w:val="21"/>
        </w:rPr>
        <w:t>sono la tipologia più a rischio</w:t>
      </w:r>
      <w:r w:rsidR="004A631C" w:rsidRPr="00A07FA4">
        <w:rPr>
          <w:rFonts w:ascii="Arial" w:hAnsi="Arial" w:cs="Arial"/>
          <w:bCs/>
          <w:color w:val="000000" w:themeColor="text1"/>
          <w:sz w:val="21"/>
          <w:szCs w:val="21"/>
        </w:rPr>
        <w:t xml:space="preserve">: </w:t>
      </w:r>
      <w:r w:rsidRPr="00A07FA4">
        <w:rPr>
          <w:rFonts w:ascii="Arial" w:hAnsi="Arial" w:cs="Arial"/>
          <w:bCs/>
          <w:color w:val="000000" w:themeColor="text1"/>
          <w:sz w:val="21"/>
          <w:szCs w:val="21"/>
        </w:rPr>
        <w:t>hanno registrat</w:t>
      </w:r>
      <w:r w:rsidR="002E4E2F" w:rsidRPr="00A07FA4">
        <w:rPr>
          <w:rFonts w:ascii="Arial" w:hAnsi="Arial" w:cs="Arial"/>
          <w:bCs/>
          <w:color w:val="000000" w:themeColor="text1"/>
          <w:sz w:val="21"/>
          <w:szCs w:val="21"/>
        </w:rPr>
        <w:t>o il 43% dei sinistri mortali e</w:t>
      </w:r>
      <w:r w:rsidRPr="00A07FA4">
        <w:rPr>
          <w:rFonts w:ascii="Arial" w:hAnsi="Arial" w:cs="Arial"/>
          <w:bCs/>
          <w:color w:val="000000" w:themeColor="text1"/>
          <w:sz w:val="21"/>
          <w:szCs w:val="21"/>
        </w:rPr>
        <w:t xml:space="preserve"> il 46% dei decessi</w:t>
      </w:r>
      <w:r w:rsidR="00CD5E06" w:rsidRPr="00A07FA4">
        <w:rPr>
          <w:rFonts w:ascii="Arial" w:hAnsi="Arial" w:cs="Arial"/>
          <w:bCs/>
          <w:color w:val="000000" w:themeColor="text1"/>
          <w:sz w:val="21"/>
          <w:szCs w:val="21"/>
        </w:rPr>
        <w:t xml:space="preserve"> (solo qui 5 incidenti plurimortali hanno causato la perdita di 14 persone)</w:t>
      </w:r>
      <w:r w:rsidRPr="00A07FA4">
        <w:rPr>
          <w:rFonts w:ascii="Arial" w:hAnsi="Arial" w:cs="Arial"/>
          <w:bCs/>
          <w:color w:val="000000" w:themeColor="text1"/>
          <w:sz w:val="21"/>
          <w:szCs w:val="21"/>
        </w:rPr>
        <w:t>; le strade statali hanno registrat</w:t>
      </w:r>
      <w:r w:rsidR="00927BD7" w:rsidRPr="00A07FA4">
        <w:rPr>
          <w:rFonts w:ascii="Arial" w:hAnsi="Arial" w:cs="Arial"/>
          <w:bCs/>
          <w:color w:val="000000" w:themeColor="text1"/>
          <w:sz w:val="21"/>
          <w:szCs w:val="21"/>
        </w:rPr>
        <w:t>o il 23% dei sinistri mortali e</w:t>
      </w:r>
      <w:r w:rsidRPr="00A07FA4">
        <w:rPr>
          <w:rFonts w:ascii="Arial" w:hAnsi="Arial" w:cs="Arial"/>
          <w:bCs/>
          <w:color w:val="000000" w:themeColor="text1"/>
          <w:sz w:val="21"/>
          <w:szCs w:val="21"/>
        </w:rPr>
        <w:t xml:space="preserve"> il 22% dei decessi; sulle strade urbane si sono concentrati il 26% degli incidenti mortali ed il 22% dei morti. </w:t>
      </w:r>
    </w:p>
    <w:p w14:paraId="78965E16" w14:textId="3F23F661" w:rsidR="00E5110B" w:rsidRPr="00A07FA4" w:rsidRDefault="004A631C" w:rsidP="00373C2E">
      <w:pPr>
        <w:rPr>
          <w:rFonts w:ascii="Arial" w:hAnsi="Arial" w:cs="Arial"/>
          <w:bCs/>
          <w:color w:val="000000" w:themeColor="text1"/>
          <w:sz w:val="21"/>
          <w:szCs w:val="21"/>
        </w:rPr>
      </w:pPr>
      <w:r w:rsidRPr="00A07FA4">
        <w:rPr>
          <w:rFonts w:ascii="Arial" w:hAnsi="Arial" w:cs="Arial"/>
          <w:bCs/>
          <w:color w:val="000000" w:themeColor="text1"/>
          <w:sz w:val="21"/>
          <w:szCs w:val="21"/>
        </w:rPr>
        <w:t>Quanto alle</w:t>
      </w:r>
      <w:r w:rsidRPr="00A07FA4">
        <w:rPr>
          <w:rFonts w:ascii="Arial" w:hAnsi="Arial" w:cs="Arial"/>
          <w:b/>
          <w:bCs/>
          <w:color w:val="000000" w:themeColor="text1"/>
          <w:sz w:val="21"/>
          <w:szCs w:val="21"/>
        </w:rPr>
        <w:t xml:space="preserve"> </w:t>
      </w:r>
      <w:r w:rsidR="002169DD" w:rsidRPr="00A07FA4">
        <w:rPr>
          <w:rFonts w:ascii="Arial" w:hAnsi="Arial" w:cs="Arial"/>
          <w:b/>
          <w:bCs/>
          <w:color w:val="000000" w:themeColor="text1"/>
          <w:sz w:val="21"/>
          <w:szCs w:val="21"/>
        </w:rPr>
        <w:t xml:space="preserve">provinciali </w:t>
      </w:r>
      <w:r w:rsidRPr="00A07FA4">
        <w:rPr>
          <w:rFonts w:ascii="Arial" w:hAnsi="Arial" w:cs="Arial"/>
          <w:b/>
          <w:bCs/>
          <w:color w:val="000000" w:themeColor="text1"/>
          <w:sz w:val="21"/>
          <w:szCs w:val="21"/>
        </w:rPr>
        <w:t>più pericolose</w:t>
      </w:r>
      <w:r w:rsidRPr="00A07FA4">
        <w:rPr>
          <w:rFonts w:ascii="Arial" w:hAnsi="Arial" w:cs="Arial"/>
          <w:bCs/>
          <w:color w:val="000000" w:themeColor="text1"/>
          <w:sz w:val="21"/>
          <w:szCs w:val="21"/>
        </w:rPr>
        <w:t xml:space="preserve">, </w:t>
      </w:r>
      <w:r w:rsidR="00E5110B" w:rsidRPr="00A07FA4">
        <w:rPr>
          <w:rFonts w:ascii="Arial" w:hAnsi="Arial" w:cs="Arial"/>
          <w:bCs/>
          <w:color w:val="000000" w:themeColor="text1"/>
          <w:sz w:val="21"/>
          <w:szCs w:val="21"/>
        </w:rPr>
        <w:t xml:space="preserve">nella città metropolitana </w:t>
      </w:r>
      <w:r w:rsidR="00AB0A9B" w:rsidRPr="00A07FA4">
        <w:rPr>
          <w:rFonts w:ascii="Arial" w:hAnsi="Arial" w:cs="Arial"/>
          <w:bCs/>
          <w:color w:val="000000" w:themeColor="text1"/>
          <w:sz w:val="21"/>
          <w:szCs w:val="21"/>
        </w:rPr>
        <w:t xml:space="preserve">di </w:t>
      </w:r>
      <w:r w:rsidR="00AB0A9B" w:rsidRPr="00A07FA4">
        <w:rPr>
          <w:rFonts w:ascii="Arial" w:hAnsi="Arial" w:cs="Arial"/>
          <w:b/>
          <w:bCs/>
          <w:color w:val="000000" w:themeColor="text1"/>
          <w:sz w:val="21"/>
          <w:szCs w:val="21"/>
        </w:rPr>
        <w:t>Bari</w:t>
      </w:r>
      <w:r w:rsidR="00AB0A9B" w:rsidRPr="00A07FA4">
        <w:rPr>
          <w:rFonts w:ascii="Arial" w:hAnsi="Arial" w:cs="Arial"/>
          <w:bCs/>
          <w:color w:val="000000" w:themeColor="text1"/>
          <w:sz w:val="21"/>
          <w:szCs w:val="21"/>
        </w:rPr>
        <w:t xml:space="preserve"> </w:t>
      </w:r>
      <w:r w:rsidR="00E5110B" w:rsidRPr="00A07FA4">
        <w:rPr>
          <w:rFonts w:ascii="Arial" w:hAnsi="Arial" w:cs="Arial"/>
          <w:bCs/>
          <w:color w:val="000000" w:themeColor="text1"/>
          <w:sz w:val="21"/>
          <w:szCs w:val="21"/>
        </w:rPr>
        <w:t>la SP 231 ha registrato 17 incidenti di cui 2 con esito mortale che ha provocato 5 morti, seguita dalla SP 236 con 16 sinistri, dalla SP 240 con 12 sinistri di cui uno mortale e dalla SP 235 con 10 sinistri di cui un</w:t>
      </w:r>
      <w:r w:rsidR="00AB0A9B" w:rsidRPr="00A07FA4">
        <w:rPr>
          <w:rFonts w:ascii="Arial" w:hAnsi="Arial" w:cs="Arial"/>
          <w:bCs/>
          <w:color w:val="000000" w:themeColor="text1"/>
          <w:sz w:val="21"/>
          <w:szCs w:val="21"/>
        </w:rPr>
        <w:t>o</w:t>
      </w:r>
      <w:r w:rsidR="00E5110B" w:rsidRPr="00A07FA4">
        <w:rPr>
          <w:rFonts w:ascii="Arial" w:hAnsi="Arial" w:cs="Arial"/>
          <w:bCs/>
          <w:color w:val="000000" w:themeColor="text1"/>
          <w:sz w:val="21"/>
          <w:szCs w:val="21"/>
        </w:rPr>
        <w:t xml:space="preserve"> mortale. Tra le strade provinciali ricadenti nel territorio di </w:t>
      </w:r>
      <w:r w:rsidR="00E5110B" w:rsidRPr="00A07FA4">
        <w:rPr>
          <w:rFonts w:ascii="Arial" w:hAnsi="Arial" w:cs="Arial"/>
          <w:b/>
          <w:bCs/>
          <w:color w:val="000000" w:themeColor="text1"/>
          <w:sz w:val="21"/>
          <w:szCs w:val="21"/>
        </w:rPr>
        <w:t>Foggia</w:t>
      </w:r>
      <w:r w:rsidR="00E5110B" w:rsidRPr="00A07FA4">
        <w:rPr>
          <w:rFonts w:ascii="Arial" w:hAnsi="Arial" w:cs="Arial"/>
          <w:bCs/>
          <w:color w:val="000000" w:themeColor="text1"/>
          <w:sz w:val="21"/>
          <w:szCs w:val="21"/>
        </w:rPr>
        <w:t xml:space="preserve"> la SP 109 e la SP 107 hanno registrato 7 incidenti seguite dalla SP 95 con 4 incidenti di cui un mortale e la SP 115 con 3 incidenti di cui un mortale. Nella provincia di </w:t>
      </w:r>
      <w:r w:rsidR="00E5110B" w:rsidRPr="00A07FA4">
        <w:rPr>
          <w:rFonts w:ascii="Arial" w:hAnsi="Arial" w:cs="Arial"/>
          <w:b/>
          <w:bCs/>
          <w:color w:val="000000" w:themeColor="text1"/>
          <w:sz w:val="21"/>
          <w:szCs w:val="21"/>
        </w:rPr>
        <w:t>Taranto</w:t>
      </w:r>
      <w:r w:rsidR="00E5110B" w:rsidRPr="00A07FA4">
        <w:rPr>
          <w:rFonts w:ascii="Arial" w:hAnsi="Arial" w:cs="Arial"/>
          <w:bCs/>
          <w:color w:val="000000" w:themeColor="text1"/>
          <w:sz w:val="21"/>
          <w:szCs w:val="21"/>
        </w:rPr>
        <w:t xml:space="preserve"> la SP ex580 ha registrato 3 sinistri di cui un mortale. Per la provincia di </w:t>
      </w:r>
      <w:r w:rsidR="00E5110B" w:rsidRPr="00A07FA4">
        <w:rPr>
          <w:rFonts w:ascii="Arial" w:hAnsi="Arial" w:cs="Arial"/>
          <w:b/>
          <w:bCs/>
          <w:color w:val="000000" w:themeColor="text1"/>
          <w:sz w:val="21"/>
          <w:szCs w:val="21"/>
        </w:rPr>
        <w:t>Lecce</w:t>
      </w:r>
      <w:r w:rsidR="00E5110B" w:rsidRPr="00A07FA4">
        <w:rPr>
          <w:rFonts w:ascii="Arial" w:hAnsi="Arial" w:cs="Arial"/>
          <w:bCs/>
          <w:color w:val="000000" w:themeColor="text1"/>
          <w:sz w:val="21"/>
          <w:szCs w:val="21"/>
        </w:rPr>
        <w:t xml:space="preserve"> la SP 359 ha registrato il maggior numero di sinistri (8) di cui du</w:t>
      </w:r>
      <w:r w:rsidR="00E65EDD" w:rsidRPr="00A07FA4">
        <w:rPr>
          <w:rFonts w:ascii="Arial" w:hAnsi="Arial" w:cs="Arial"/>
          <w:bCs/>
          <w:color w:val="000000" w:themeColor="text1"/>
          <w:sz w:val="21"/>
          <w:szCs w:val="21"/>
        </w:rPr>
        <w:t>e mortali. Per la provincia di B</w:t>
      </w:r>
      <w:r w:rsidR="00E5110B" w:rsidRPr="00A07FA4">
        <w:rPr>
          <w:rFonts w:ascii="Arial" w:hAnsi="Arial" w:cs="Arial"/>
          <w:bCs/>
          <w:color w:val="000000" w:themeColor="text1"/>
          <w:sz w:val="21"/>
          <w:szCs w:val="21"/>
        </w:rPr>
        <w:t xml:space="preserve">arletta Andria e Trani si segnala </w:t>
      </w:r>
      <w:r w:rsidR="00E65EDD" w:rsidRPr="00A07FA4">
        <w:rPr>
          <w:rFonts w:ascii="Arial" w:hAnsi="Arial" w:cs="Arial"/>
          <w:bCs/>
          <w:color w:val="000000" w:themeColor="text1"/>
          <w:sz w:val="21"/>
          <w:szCs w:val="21"/>
        </w:rPr>
        <w:t xml:space="preserve">la </w:t>
      </w:r>
      <w:r w:rsidR="00E5110B" w:rsidRPr="00A07FA4">
        <w:rPr>
          <w:rFonts w:ascii="Arial" w:hAnsi="Arial" w:cs="Arial"/>
          <w:bCs/>
          <w:color w:val="000000" w:themeColor="text1"/>
          <w:sz w:val="21"/>
          <w:szCs w:val="21"/>
        </w:rPr>
        <w:t xml:space="preserve">SP 2 con 11 sinistri e nessun incidente mortale. </w:t>
      </w:r>
    </w:p>
    <w:p w14:paraId="2C877377" w14:textId="2D7E67BD" w:rsidR="00E5110B" w:rsidRPr="00A07FA4"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 xml:space="preserve">Per quel che riguarda </w:t>
      </w:r>
      <w:r w:rsidR="002169DD" w:rsidRPr="00A07FA4">
        <w:rPr>
          <w:rFonts w:ascii="Arial" w:hAnsi="Arial" w:cs="Arial"/>
          <w:bCs/>
          <w:color w:val="000000" w:themeColor="text1"/>
          <w:sz w:val="21"/>
          <w:szCs w:val="21"/>
        </w:rPr>
        <w:t xml:space="preserve">invece </w:t>
      </w:r>
      <w:r w:rsidRPr="00A07FA4">
        <w:rPr>
          <w:rFonts w:ascii="Arial" w:hAnsi="Arial" w:cs="Arial"/>
          <w:bCs/>
          <w:color w:val="000000" w:themeColor="text1"/>
          <w:sz w:val="21"/>
          <w:szCs w:val="21"/>
        </w:rPr>
        <w:t xml:space="preserve">le </w:t>
      </w:r>
      <w:r w:rsidRPr="00A07FA4">
        <w:rPr>
          <w:rFonts w:ascii="Arial" w:hAnsi="Arial" w:cs="Arial"/>
          <w:b/>
          <w:bCs/>
          <w:color w:val="000000" w:themeColor="text1"/>
          <w:sz w:val="21"/>
          <w:szCs w:val="21"/>
        </w:rPr>
        <w:t>statali</w:t>
      </w:r>
      <w:r w:rsidR="002169DD" w:rsidRPr="00A07FA4">
        <w:rPr>
          <w:rFonts w:ascii="Arial" w:hAnsi="Arial" w:cs="Arial"/>
          <w:b/>
          <w:bCs/>
          <w:color w:val="000000" w:themeColor="text1"/>
          <w:sz w:val="21"/>
          <w:szCs w:val="21"/>
        </w:rPr>
        <w:t>,</w:t>
      </w:r>
      <w:r w:rsidRPr="00A07FA4">
        <w:rPr>
          <w:rFonts w:ascii="Arial" w:hAnsi="Arial" w:cs="Arial"/>
          <w:bCs/>
          <w:color w:val="000000" w:themeColor="text1"/>
          <w:sz w:val="21"/>
          <w:szCs w:val="21"/>
        </w:rPr>
        <w:t xml:space="preserve"> nella provincia di </w:t>
      </w:r>
      <w:r w:rsidRPr="00A07FA4">
        <w:rPr>
          <w:rFonts w:ascii="Arial" w:hAnsi="Arial" w:cs="Arial"/>
          <w:b/>
          <w:bCs/>
          <w:color w:val="000000" w:themeColor="text1"/>
          <w:sz w:val="21"/>
          <w:szCs w:val="21"/>
        </w:rPr>
        <w:t>Foggia</w:t>
      </w:r>
      <w:r w:rsidRPr="00A07FA4">
        <w:rPr>
          <w:rFonts w:ascii="Arial" w:hAnsi="Arial" w:cs="Arial"/>
          <w:bCs/>
          <w:color w:val="000000" w:themeColor="text1"/>
          <w:sz w:val="21"/>
          <w:szCs w:val="21"/>
        </w:rPr>
        <w:t xml:space="preserve"> la SS 16 ha registrato 25 sinistri di cui 2 incidenti mortali, la SS 89 ha registrato 10 sinistri di cui 1 mortale, la SS</w:t>
      </w:r>
      <w:r w:rsidR="002E29AE" w:rsidRPr="00A07FA4">
        <w:rPr>
          <w:rFonts w:ascii="Arial" w:hAnsi="Arial" w:cs="Arial"/>
          <w:bCs/>
          <w:color w:val="000000" w:themeColor="text1"/>
          <w:sz w:val="21"/>
          <w:szCs w:val="21"/>
        </w:rPr>
        <w:t xml:space="preserve"> </w:t>
      </w:r>
      <w:r w:rsidRPr="00A07FA4">
        <w:rPr>
          <w:rFonts w:ascii="Arial" w:hAnsi="Arial" w:cs="Arial"/>
          <w:bCs/>
          <w:color w:val="000000" w:themeColor="text1"/>
          <w:sz w:val="21"/>
          <w:szCs w:val="21"/>
        </w:rPr>
        <w:t xml:space="preserve">673 </w:t>
      </w:r>
      <w:r w:rsidR="002E29AE" w:rsidRPr="00A07FA4">
        <w:rPr>
          <w:rFonts w:ascii="Arial" w:hAnsi="Arial" w:cs="Arial"/>
          <w:bCs/>
          <w:color w:val="000000" w:themeColor="text1"/>
          <w:sz w:val="21"/>
          <w:szCs w:val="21"/>
        </w:rPr>
        <w:t xml:space="preserve">ha visto </w:t>
      </w:r>
      <w:r w:rsidRPr="00A07FA4">
        <w:rPr>
          <w:rFonts w:ascii="Arial" w:hAnsi="Arial" w:cs="Arial"/>
          <w:bCs/>
          <w:color w:val="000000" w:themeColor="text1"/>
          <w:sz w:val="21"/>
          <w:szCs w:val="21"/>
        </w:rPr>
        <w:t>6 incidenti</w:t>
      </w:r>
      <w:r w:rsidR="002E29AE" w:rsidRPr="00A07FA4">
        <w:rPr>
          <w:rFonts w:ascii="Arial" w:hAnsi="Arial" w:cs="Arial"/>
          <w:bCs/>
          <w:color w:val="000000" w:themeColor="text1"/>
          <w:sz w:val="21"/>
          <w:szCs w:val="21"/>
        </w:rPr>
        <w:t>,</w:t>
      </w:r>
      <w:r w:rsidRPr="00A07FA4">
        <w:rPr>
          <w:rFonts w:ascii="Arial" w:hAnsi="Arial" w:cs="Arial"/>
          <w:bCs/>
          <w:color w:val="000000" w:themeColor="text1"/>
          <w:sz w:val="21"/>
          <w:szCs w:val="21"/>
        </w:rPr>
        <w:t xml:space="preserve"> e 5 sinistri di cui 2 mortali</w:t>
      </w:r>
      <w:r w:rsidR="002E29AE" w:rsidRPr="00A07FA4">
        <w:rPr>
          <w:rFonts w:ascii="Arial" w:hAnsi="Arial" w:cs="Arial"/>
          <w:bCs/>
          <w:color w:val="000000" w:themeColor="text1"/>
          <w:sz w:val="21"/>
          <w:szCs w:val="21"/>
        </w:rPr>
        <w:t xml:space="preserve"> la SS 90</w:t>
      </w:r>
      <w:r w:rsidRPr="00A07FA4">
        <w:rPr>
          <w:rFonts w:ascii="Arial" w:hAnsi="Arial" w:cs="Arial"/>
          <w:bCs/>
          <w:color w:val="000000" w:themeColor="text1"/>
          <w:sz w:val="21"/>
          <w:szCs w:val="21"/>
        </w:rPr>
        <w:t xml:space="preserve">; nella </w:t>
      </w:r>
      <w:r w:rsidRPr="00A07FA4">
        <w:rPr>
          <w:rFonts w:ascii="Arial" w:hAnsi="Arial" w:cs="Arial"/>
          <w:b/>
          <w:bCs/>
          <w:color w:val="000000" w:themeColor="text1"/>
          <w:sz w:val="21"/>
          <w:szCs w:val="21"/>
        </w:rPr>
        <w:t>città metropolitana</w:t>
      </w:r>
      <w:r w:rsidRPr="00A07FA4">
        <w:rPr>
          <w:rFonts w:ascii="Arial" w:hAnsi="Arial" w:cs="Arial"/>
          <w:bCs/>
          <w:color w:val="000000" w:themeColor="text1"/>
          <w:sz w:val="21"/>
          <w:szCs w:val="21"/>
        </w:rPr>
        <w:t xml:space="preserve"> è la SS 16 ad aver segnalato il maggior numero di incidenti con 100 sinistri, 1 morto e 180 feriti seguita dalla SS 96 </w:t>
      </w:r>
      <w:r w:rsidR="00305BEB" w:rsidRPr="00A07FA4">
        <w:rPr>
          <w:rFonts w:ascii="Arial" w:hAnsi="Arial" w:cs="Arial"/>
          <w:bCs/>
          <w:color w:val="000000" w:themeColor="text1"/>
          <w:sz w:val="21"/>
          <w:szCs w:val="21"/>
        </w:rPr>
        <w:t>(</w:t>
      </w:r>
      <w:r w:rsidRPr="00A07FA4">
        <w:rPr>
          <w:rFonts w:ascii="Arial" w:hAnsi="Arial" w:cs="Arial"/>
          <w:bCs/>
          <w:color w:val="000000" w:themeColor="text1"/>
          <w:sz w:val="21"/>
          <w:szCs w:val="21"/>
        </w:rPr>
        <w:t>21 sinistri, 1 morto e 62 feriti</w:t>
      </w:r>
      <w:r w:rsidR="00305BEB" w:rsidRPr="00A07FA4">
        <w:rPr>
          <w:rFonts w:ascii="Arial" w:hAnsi="Arial" w:cs="Arial"/>
          <w:bCs/>
          <w:color w:val="000000" w:themeColor="text1"/>
          <w:sz w:val="21"/>
          <w:szCs w:val="21"/>
        </w:rPr>
        <w:t>)</w:t>
      </w:r>
      <w:r w:rsidRPr="00A07FA4">
        <w:rPr>
          <w:rFonts w:ascii="Arial" w:hAnsi="Arial" w:cs="Arial"/>
          <w:bCs/>
          <w:color w:val="000000" w:themeColor="text1"/>
          <w:sz w:val="21"/>
          <w:szCs w:val="21"/>
        </w:rPr>
        <w:t xml:space="preserve">, la SS 100 </w:t>
      </w:r>
      <w:r w:rsidR="00305BEB" w:rsidRPr="00A07FA4">
        <w:rPr>
          <w:rFonts w:ascii="Arial" w:hAnsi="Arial" w:cs="Arial"/>
          <w:bCs/>
          <w:color w:val="000000" w:themeColor="text1"/>
          <w:sz w:val="21"/>
          <w:szCs w:val="21"/>
        </w:rPr>
        <w:t>(</w:t>
      </w:r>
      <w:r w:rsidRPr="00A07FA4">
        <w:rPr>
          <w:rFonts w:ascii="Arial" w:hAnsi="Arial" w:cs="Arial"/>
          <w:bCs/>
          <w:color w:val="000000" w:themeColor="text1"/>
          <w:sz w:val="21"/>
          <w:szCs w:val="21"/>
        </w:rPr>
        <w:t>20 sinistri, 1 morto e 43 feriti</w:t>
      </w:r>
      <w:r w:rsidR="00554A7E" w:rsidRPr="00A07FA4">
        <w:rPr>
          <w:rFonts w:ascii="Arial" w:hAnsi="Arial" w:cs="Arial"/>
          <w:bCs/>
          <w:color w:val="000000" w:themeColor="text1"/>
          <w:sz w:val="21"/>
          <w:szCs w:val="21"/>
        </w:rPr>
        <w:t>)</w:t>
      </w:r>
      <w:r w:rsidRPr="00A07FA4">
        <w:rPr>
          <w:rFonts w:ascii="Arial" w:hAnsi="Arial" w:cs="Arial"/>
          <w:bCs/>
          <w:color w:val="000000" w:themeColor="text1"/>
          <w:sz w:val="21"/>
          <w:szCs w:val="21"/>
        </w:rPr>
        <w:t xml:space="preserve"> e la SS 172 </w:t>
      </w:r>
      <w:r w:rsidR="00554A7E" w:rsidRPr="00A07FA4">
        <w:rPr>
          <w:rFonts w:ascii="Arial" w:hAnsi="Arial" w:cs="Arial"/>
          <w:bCs/>
          <w:color w:val="000000" w:themeColor="text1"/>
          <w:sz w:val="21"/>
          <w:szCs w:val="21"/>
        </w:rPr>
        <w:t>(</w:t>
      </w:r>
      <w:r w:rsidRPr="00A07FA4">
        <w:rPr>
          <w:rFonts w:ascii="Arial" w:hAnsi="Arial" w:cs="Arial"/>
          <w:bCs/>
          <w:color w:val="000000" w:themeColor="text1"/>
          <w:sz w:val="21"/>
          <w:szCs w:val="21"/>
        </w:rPr>
        <w:t>14 sinistri</w:t>
      </w:r>
      <w:r w:rsidR="00554A7E" w:rsidRPr="00A07FA4">
        <w:rPr>
          <w:rFonts w:ascii="Arial" w:hAnsi="Arial" w:cs="Arial"/>
          <w:bCs/>
          <w:color w:val="000000" w:themeColor="text1"/>
          <w:sz w:val="21"/>
          <w:szCs w:val="21"/>
        </w:rPr>
        <w:t>)</w:t>
      </w:r>
      <w:r w:rsidRPr="00A07FA4">
        <w:rPr>
          <w:rFonts w:ascii="Arial" w:hAnsi="Arial" w:cs="Arial"/>
          <w:bCs/>
          <w:color w:val="000000" w:themeColor="text1"/>
          <w:sz w:val="21"/>
          <w:szCs w:val="21"/>
        </w:rPr>
        <w:t xml:space="preserve">. Nella provincia di </w:t>
      </w:r>
      <w:r w:rsidRPr="00A07FA4">
        <w:rPr>
          <w:rFonts w:ascii="Arial" w:hAnsi="Arial" w:cs="Arial"/>
          <w:b/>
          <w:bCs/>
          <w:color w:val="000000" w:themeColor="text1"/>
          <w:sz w:val="21"/>
          <w:szCs w:val="21"/>
        </w:rPr>
        <w:t>Taranto</w:t>
      </w:r>
      <w:r w:rsidRPr="00A07FA4">
        <w:rPr>
          <w:rFonts w:ascii="Arial" w:hAnsi="Arial" w:cs="Arial"/>
          <w:bCs/>
          <w:color w:val="000000" w:themeColor="text1"/>
          <w:sz w:val="21"/>
          <w:szCs w:val="21"/>
        </w:rPr>
        <w:t xml:space="preserve"> si è segnalata la SS 7 con 48 sinistri di cui 4 mortali che hanno provocato 6 morti e 62 feriti e la 106 con 11 incidenti e 15 feriti. Nella provincia di </w:t>
      </w:r>
      <w:r w:rsidRPr="00A07FA4">
        <w:rPr>
          <w:rFonts w:ascii="Arial" w:hAnsi="Arial" w:cs="Arial"/>
          <w:b/>
          <w:bCs/>
          <w:color w:val="000000" w:themeColor="text1"/>
          <w:sz w:val="21"/>
          <w:szCs w:val="21"/>
        </w:rPr>
        <w:t>Brindisi</w:t>
      </w:r>
      <w:r w:rsidRPr="00A07FA4">
        <w:rPr>
          <w:rFonts w:ascii="Arial" w:hAnsi="Arial" w:cs="Arial"/>
          <w:bCs/>
          <w:color w:val="000000" w:themeColor="text1"/>
          <w:sz w:val="21"/>
          <w:szCs w:val="21"/>
        </w:rPr>
        <w:t xml:space="preserve"> si è registrato un incidente mortale sulla SS379 mentre nella provincia di </w:t>
      </w:r>
      <w:r w:rsidRPr="00A07FA4">
        <w:rPr>
          <w:rFonts w:ascii="Arial" w:hAnsi="Arial" w:cs="Arial"/>
          <w:b/>
          <w:bCs/>
          <w:color w:val="000000" w:themeColor="text1"/>
          <w:sz w:val="21"/>
          <w:szCs w:val="21"/>
        </w:rPr>
        <w:t>Lecce</w:t>
      </w:r>
      <w:r w:rsidRPr="00A07FA4">
        <w:rPr>
          <w:rFonts w:ascii="Arial" w:hAnsi="Arial" w:cs="Arial"/>
          <w:bCs/>
          <w:color w:val="000000" w:themeColor="text1"/>
          <w:sz w:val="21"/>
          <w:szCs w:val="21"/>
        </w:rPr>
        <w:t xml:space="preserve"> la SS 16 ha registrato 11 incidenti di cui un mortale avvenuto nel tratto del territorio del comune di Lecce. </w:t>
      </w:r>
    </w:p>
    <w:p w14:paraId="43A3A26A" w14:textId="0EF10463" w:rsidR="00E5110B" w:rsidRPr="00A07FA4"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 xml:space="preserve">Un ultimo focus </w:t>
      </w:r>
      <w:r w:rsidR="005D74B0" w:rsidRPr="00A07FA4">
        <w:rPr>
          <w:rFonts w:ascii="Arial" w:hAnsi="Arial" w:cs="Arial"/>
          <w:bCs/>
          <w:color w:val="000000" w:themeColor="text1"/>
          <w:sz w:val="21"/>
          <w:szCs w:val="21"/>
        </w:rPr>
        <w:t xml:space="preserve">sulla cosidetta </w:t>
      </w:r>
      <w:r w:rsidRPr="00A07FA4">
        <w:rPr>
          <w:rFonts w:ascii="Arial" w:hAnsi="Arial" w:cs="Arial"/>
          <w:bCs/>
          <w:color w:val="000000" w:themeColor="text1"/>
          <w:sz w:val="21"/>
          <w:szCs w:val="21"/>
        </w:rPr>
        <w:t>utenza debole</w:t>
      </w:r>
      <w:r w:rsidR="005D74B0" w:rsidRPr="00A07FA4">
        <w:rPr>
          <w:rFonts w:ascii="Arial" w:hAnsi="Arial" w:cs="Arial"/>
          <w:bCs/>
          <w:color w:val="000000" w:themeColor="text1"/>
          <w:sz w:val="21"/>
          <w:szCs w:val="21"/>
        </w:rPr>
        <w:t xml:space="preserve">: </w:t>
      </w:r>
      <w:r w:rsidRPr="00A07FA4">
        <w:rPr>
          <w:rFonts w:ascii="Arial" w:hAnsi="Arial" w:cs="Arial"/>
          <w:bCs/>
          <w:color w:val="000000" w:themeColor="text1"/>
          <w:sz w:val="21"/>
          <w:szCs w:val="21"/>
        </w:rPr>
        <w:t xml:space="preserve">nei primi sei mesi dell’anno non sono stati registrati incidenti stradali mortali che hanno coinvolto </w:t>
      </w:r>
      <w:r w:rsidRPr="00A07FA4">
        <w:rPr>
          <w:rFonts w:ascii="Arial" w:hAnsi="Arial" w:cs="Arial"/>
          <w:b/>
          <w:bCs/>
          <w:color w:val="000000" w:themeColor="text1"/>
          <w:sz w:val="21"/>
          <w:szCs w:val="21"/>
        </w:rPr>
        <w:t>monopattini e bici elettriche</w:t>
      </w:r>
      <w:r w:rsidRPr="00A07FA4">
        <w:rPr>
          <w:rFonts w:ascii="Arial" w:hAnsi="Arial" w:cs="Arial"/>
          <w:bCs/>
          <w:color w:val="000000" w:themeColor="text1"/>
          <w:sz w:val="21"/>
          <w:szCs w:val="21"/>
        </w:rPr>
        <w:t xml:space="preserve">. Sono invece tre i sinistri mortali che hanno coinvolto i </w:t>
      </w:r>
      <w:r w:rsidRPr="00A07FA4">
        <w:rPr>
          <w:rFonts w:ascii="Arial" w:hAnsi="Arial" w:cs="Arial"/>
          <w:b/>
          <w:bCs/>
          <w:color w:val="000000" w:themeColor="text1"/>
          <w:sz w:val="21"/>
          <w:szCs w:val="21"/>
        </w:rPr>
        <w:t>ciclisti</w:t>
      </w:r>
      <w:r w:rsidRPr="00A07FA4">
        <w:rPr>
          <w:rFonts w:ascii="Arial" w:hAnsi="Arial" w:cs="Arial"/>
          <w:bCs/>
          <w:color w:val="000000" w:themeColor="text1"/>
          <w:sz w:val="21"/>
          <w:szCs w:val="21"/>
        </w:rPr>
        <w:t xml:space="preserve">. La fascia d’età dei conducenti di monopattini maggiormente coinvolta in sinistri stradali è risultata quella compresa tra i 30-44 anni (28%), seguita dalla fascia </w:t>
      </w:r>
      <w:r w:rsidR="008A781F" w:rsidRPr="00A07FA4">
        <w:rPr>
          <w:rFonts w:ascii="Arial" w:hAnsi="Arial" w:cs="Arial"/>
          <w:bCs/>
          <w:color w:val="000000" w:themeColor="text1"/>
          <w:sz w:val="21"/>
          <w:szCs w:val="21"/>
        </w:rPr>
        <w:t>45-</w:t>
      </w:r>
      <w:r w:rsidRPr="00A07FA4">
        <w:rPr>
          <w:rFonts w:ascii="Arial" w:hAnsi="Arial" w:cs="Arial"/>
          <w:bCs/>
          <w:color w:val="000000" w:themeColor="text1"/>
          <w:sz w:val="21"/>
          <w:szCs w:val="21"/>
        </w:rPr>
        <w:t xml:space="preserve">64 anni (22%); i conducenti minorenni coinvolti rappresentano il 13%. I minorenni, invece, sono la categoria dei conducenti più esposta negli incidenti che riguardano i ciclomotori (48,6%). </w:t>
      </w:r>
    </w:p>
    <w:p w14:paraId="779A8C3A" w14:textId="77777777" w:rsidR="00E5110B" w:rsidRDefault="00E5110B" w:rsidP="00373C2E">
      <w:pPr>
        <w:rPr>
          <w:rFonts w:ascii="Arial" w:hAnsi="Arial" w:cs="Arial"/>
          <w:bCs/>
          <w:color w:val="000000" w:themeColor="text1"/>
          <w:sz w:val="21"/>
          <w:szCs w:val="21"/>
        </w:rPr>
      </w:pPr>
      <w:r w:rsidRPr="00A07FA4">
        <w:rPr>
          <w:rFonts w:ascii="Arial" w:hAnsi="Arial" w:cs="Arial"/>
          <w:bCs/>
          <w:color w:val="000000" w:themeColor="text1"/>
          <w:sz w:val="21"/>
          <w:szCs w:val="21"/>
        </w:rPr>
        <w:t>La categoria dei conducenti compresi nella fascia d’età 45-64 (27%) è maggiormente coinvolta negli incidenti con i motocicli, seguita dalla fascia d’età 18-24; tra i ciclisti spicca la categoria dei conducenti compresi nella fascia d’età 45-64 (29%) seguita dai conducenti in età compresa tra i 30-44 anni (27%).</w:t>
      </w:r>
    </w:p>
    <w:p w14:paraId="25C293BD" w14:textId="77777777" w:rsidR="00D31488" w:rsidRPr="00A07FA4" w:rsidRDefault="00D31488" w:rsidP="00373C2E">
      <w:pPr>
        <w:rPr>
          <w:rFonts w:ascii="Arial" w:hAnsi="Arial" w:cs="Arial"/>
          <w:bCs/>
          <w:color w:val="000000" w:themeColor="text1"/>
          <w:sz w:val="21"/>
          <w:szCs w:val="21"/>
        </w:rPr>
      </w:pPr>
    </w:p>
    <w:p w14:paraId="2B05F320" w14:textId="075FFAAF" w:rsidR="00E5110B" w:rsidRPr="00A07FA4" w:rsidRDefault="00E5110B" w:rsidP="00E5110B">
      <w:pPr>
        <w:jc w:val="left"/>
        <w:rPr>
          <w:rFonts w:ascii="Arial" w:hAnsi="Arial" w:cs="Arial"/>
          <w:bCs/>
          <w:color w:val="000000" w:themeColor="text1"/>
          <w:sz w:val="21"/>
          <w:szCs w:val="21"/>
        </w:rPr>
      </w:pPr>
      <w:r w:rsidRPr="00A07FA4">
        <w:rPr>
          <w:rFonts w:ascii="Arial" w:hAnsi="Arial" w:cs="Arial"/>
          <w:bCs/>
          <w:color w:val="000000" w:themeColor="text1"/>
          <w:sz w:val="21"/>
          <w:szCs w:val="21"/>
        </w:rPr>
        <w:t xml:space="preserve">Ulteriori informazioni nella sezione sicurezza stradale del sito Asset: </w:t>
      </w:r>
      <w:hyperlink r:id="rId8" w:history="1">
        <w:r w:rsidR="009362B6" w:rsidRPr="00A07FA4">
          <w:rPr>
            <w:rStyle w:val="Collegamentoipertestuale"/>
            <w:rFonts w:ascii="Arial" w:hAnsi="Arial" w:cs="Arial"/>
            <w:bCs/>
            <w:sz w:val="21"/>
            <w:szCs w:val="21"/>
          </w:rPr>
          <w:t>http://Asset.regione.puglia.it</w:t>
        </w:r>
      </w:hyperlink>
    </w:p>
    <w:p w14:paraId="5534F43B" w14:textId="77777777" w:rsidR="00A07FA4" w:rsidRDefault="00A07FA4" w:rsidP="00231FDA">
      <w:pPr>
        <w:rPr>
          <w:rFonts w:ascii="Arial" w:hAnsi="Arial" w:cs="Arial"/>
          <w:bCs/>
          <w:i/>
          <w:iCs/>
          <w:color w:val="000000" w:themeColor="text1"/>
          <w:sz w:val="21"/>
          <w:szCs w:val="21"/>
        </w:rPr>
      </w:pPr>
    </w:p>
    <w:p w14:paraId="6777CB78" w14:textId="0768451F" w:rsidR="00231FDA" w:rsidRPr="00A07FA4" w:rsidRDefault="00231FDA" w:rsidP="00231FDA">
      <w:pPr>
        <w:rPr>
          <w:rFonts w:ascii="Arial" w:hAnsi="Arial" w:cs="Arial"/>
          <w:bCs/>
          <w:i/>
          <w:iCs/>
          <w:color w:val="000000" w:themeColor="text1"/>
          <w:sz w:val="21"/>
          <w:szCs w:val="21"/>
        </w:rPr>
      </w:pPr>
      <w:r w:rsidRPr="00A07FA4">
        <w:rPr>
          <w:rFonts w:ascii="Arial" w:hAnsi="Arial" w:cs="Arial"/>
          <w:bCs/>
          <w:i/>
          <w:iCs/>
          <w:color w:val="000000" w:themeColor="text1"/>
          <w:sz w:val="21"/>
          <w:szCs w:val="21"/>
        </w:rPr>
        <w:t>---</w:t>
      </w:r>
    </w:p>
    <w:p w14:paraId="2E297D7C" w14:textId="68BAC53E" w:rsidR="00231FDA" w:rsidRDefault="00231FDA" w:rsidP="00231FDA">
      <w:pPr>
        <w:spacing w:line="240" w:lineRule="auto"/>
        <w:rPr>
          <w:rFonts w:ascii="Arial" w:eastAsia="Times New Roman" w:hAnsi="Arial" w:cs="Arial"/>
          <w:i/>
          <w:iCs/>
        </w:rPr>
      </w:pPr>
      <w:r w:rsidRPr="00A07FA4">
        <w:rPr>
          <w:rFonts w:ascii="Arial" w:eastAsia="Times New Roman" w:hAnsi="Arial" w:cs="Arial"/>
          <w:i/>
          <w:iCs/>
        </w:rPr>
        <w:t>Fabio Nardulli - Comunicazion</w:t>
      </w:r>
      <w:r w:rsidR="00E63112" w:rsidRPr="00A07FA4">
        <w:rPr>
          <w:rFonts w:ascii="Arial" w:eastAsia="Times New Roman" w:hAnsi="Arial" w:cs="Arial"/>
          <w:i/>
          <w:iCs/>
        </w:rPr>
        <w:t>e</w:t>
      </w:r>
      <w:r w:rsidRPr="00A07FA4">
        <w:rPr>
          <w:rFonts w:ascii="Arial" w:eastAsia="Times New Roman" w:hAnsi="Arial" w:cs="Arial"/>
          <w:i/>
          <w:iCs/>
        </w:rPr>
        <w:t xml:space="preserve"> ASSET</w:t>
      </w:r>
      <w:r w:rsidR="00F301C0" w:rsidRPr="00A07FA4">
        <w:rPr>
          <w:rFonts w:ascii="Arial" w:eastAsia="Times New Roman" w:hAnsi="Arial" w:cs="Arial"/>
          <w:i/>
          <w:iCs/>
        </w:rPr>
        <w:t xml:space="preserve"> - </w:t>
      </w:r>
      <w:hyperlink r:id="rId9" w:history="1">
        <w:r w:rsidRPr="00A07FA4">
          <w:rPr>
            <w:rStyle w:val="Collegamentoipertestuale"/>
            <w:rFonts w:ascii="Arial" w:eastAsia="Times New Roman" w:hAnsi="Arial" w:cs="Arial"/>
            <w:i/>
            <w:iCs/>
          </w:rPr>
          <w:t>comunicazione@asset.regione.puglia.it</w:t>
        </w:r>
      </w:hyperlink>
      <w:r w:rsidRPr="00A07FA4">
        <w:rPr>
          <w:rFonts w:ascii="Arial" w:eastAsia="Times New Roman" w:hAnsi="Arial" w:cs="Arial"/>
          <w:i/>
          <w:iCs/>
        </w:rPr>
        <w:t xml:space="preserve"> - 339 1307311</w:t>
      </w:r>
    </w:p>
    <w:p w14:paraId="0C312F9C" w14:textId="77777777" w:rsidR="00BB4082" w:rsidRPr="00A07FA4" w:rsidRDefault="00BB4082" w:rsidP="00231FDA">
      <w:pPr>
        <w:spacing w:line="240" w:lineRule="auto"/>
        <w:rPr>
          <w:rFonts w:ascii="Arial" w:eastAsia="Times New Roman" w:hAnsi="Arial" w:cs="Arial"/>
          <w:i/>
          <w:iCs/>
        </w:rPr>
      </w:pPr>
    </w:p>
    <w:sectPr w:rsidR="00BB4082" w:rsidRPr="00A07FA4" w:rsidSect="00D31488">
      <w:headerReference w:type="default" r:id="rId10"/>
      <w:footerReference w:type="default" r:id="rId11"/>
      <w:pgSz w:w="11909" w:h="16834"/>
      <w:pgMar w:top="2000" w:right="1440" w:bottom="1440" w:left="1440" w:header="426" w:footer="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0BD6" w14:textId="77777777" w:rsidR="008E5EFA" w:rsidRDefault="008E5EFA">
      <w:pPr>
        <w:spacing w:before="0" w:line="240" w:lineRule="auto"/>
      </w:pPr>
      <w:r>
        <w:separator/>
      </w:r>
    </w:p>
  </w:endnote>
  <w:endnote w:type="continuationSeparator" w:id="0">
    <w:p w14:paraId="1832B9DE" w14:textId="77777777" w:rsidR="008E5EFA" w:rsidRDefault="008E5E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675F" w14:textId="77777777" w:rsidR="00D31488" w:rsidRDefault="00D31488">
    <w:pPr>
      <w:jc w:val="left"/>
      <w:rPr>
        <w:b/>
        <w:sz w:val="2"/>
        <w:szCs w:val="2"/>
      </w:rPr>
    </w:pPr>
  </w:p>
  <w:tbl>
    <w:tblPr>
      <w:tblStyle w:val="a2"/>
      <w:tblW w:w="9030" w:type="dxa"/>
      <w:jc w:val="right"/>
      <w:tblInd w:w="0" w:type="dxa"/>
      <w:tblLayout w:type="fixed"/>
      <w:tblLook w:val="0600" w:firstRow="0" w:lastRow="0" w:firstColumn="0" w:lastColumn="0" w:noHBand="1" w:noVBand="1"/>
    </w:tblPr>
    <w:tblGrid>
      <w:gridCol w:w="8385"/>
      <w:gridCol w:w="645"/>
    </w:tblGrid>
    <w:tr w:rsidR="00D31488" w14:paraId="21532EA4" w14:textId="77777777">
      <w:trPr>
        <w:trHeight w:val="465"/>
        <w:jc w:val="right"/>
      </w:trPr>
      <w:tc>
        <w:tcPr>
          <w:tcW w:w="8385" w:type="dxa"/>
          <w:shd w:val="clear" w:color="auto" w:fill="auto"/>
          <w:tcMar>
            <w:top w:w="0" w:type="dxa"/>
            <w:left w:w="0" w:type="dxa"/>
            <w:bottom w:w="0" w:type="dxa"/>
            <w:right w:w="0" w:type="dxa"/>
          </w:tcMar>
        </w:tcPr>
        <w:p w14:paraId="0CF47238" w14:textId="77777777" w:rsidR="00D31488" w:rsidRDefault="00D31488">
          <w:pPr>
            <w:keepLines/>
            <w:widowControl w:val="0"/>
            <w:spacing w:before="0" w:line="240" w:lineRule="auto"/>
            <w:jc w:val="left"/>
            <w:rPr>
              <w:b/>
              <w:color w:val="666666"/>
              <w:sz w:val="14"/>
              <w:szCs w:val="14"/>
            </w:rPr>
          </w:pPr>
        </w:p>
        <w:p w14:paraId="18CE857E" w14:textId="77777777" w:rsidR="00D31488" w:rsidRDefault="00D31488">
          <w:pPr>
            <w:keepLines/>
            <w:widowControl w:val="0"/>
            <w:spacing w:before="0" w:line="240" w:lineRule="auto"/>
            <w:jc w:val="left"/>
            <w:rPr>
              <w:b/>
              <w:color w:val="666666"/>
              <w:sz w:val="8"/>
              <w:szCs w:val="8"/>
            </w:rPr>
          </w:pPr>
          <w:r>
            <w:rPr>
              <w:b/>
              <w:color w:val="666666"/>
              <w:sz w:val="14"/>
              <w:szCs w:val="14"/>
            </w:rPr>
            <w:t>ASSET - Agenzia regionale Strategica per lo Sviluppo Ecosostenibile del Territorio</w:t>
          </w:r>
        </w:p>
        <w:p w14:paraId="45E400A0" w14:textId="77777777" w:rsidR="00D31488" w:rsidRDefault="00D31488">
          <w:pPr>
            <w:keepLines/>
            <w:widowControl w:val="0"/>
            <w:spacing w:before="0" w:line="240" w:lineRule="auto"/>
            <w:jc w:val="left"/>
            <w:rPr>
              <w:color w:val="666666"/>
              <w:sz w:val="12"/>
              <w:szCs w:val="12"/>
            </w:rPr>
          </w:pPr>
          <w:r>
            <w:rPr>
              <w:color w:val="666666"/>
              <w:sz w:val="12"/>
              <w:szCs w:val="12"/>
            </w:rPr>
            <w:t xml:space="preserve">Via Gentile n.52 - 70126 Bari - C.F. 93485840727 - segreteria@asset.regione.puglia.it   asset@pec.rupar.puglia.it  </w:t>
          </w:r>
          <w:r>
            <w:rPr>
              <w:sz w:val="22"/>
              <w:szCs w:val="22"/>
            </w:rPr>
            <w:t xml:space="preserve"> </w:t>
          </w:r>
          <w:r>
            <w:rPr>
              <w:color w:val="666666"/>
              <w:sz w:val="12"/>
              <w:szCs w:val="12"/>
            </w:rPr>
            <w:t>asset.regione.puglia.it -</w:t>
          </w:r>
        </w:p>
      </w:tc>
      <w:tc>
        <w:tcPr>
          <w:tcW w:w="645" w:type="dxa"/>
          <w:shd w:val="clear" w:color="auto" w:fill="auto"/>
          <w:tcMar>
            <w:top w:w="0" w:type="dxa"/>
            <w:left w:w="0" w:type="dxa"/>
            <w:bottom w:w="0" w:type="dxa"/>
            <w:right w:w="0" w:type="dxa"/>
          </w:tcMar>
          <w:vAlign w:val="bottom"/>
        </w:tcPr>
        <w:p w14:paraId="56F8C966" w14:textId="77777777" w:rsidR="00D31488" w:rsidRDefault="00D31488">
          <w:pPr>
            <w:spacing w:before="0" w:line="240" w:lineRule="auto"/>
            <w:jc w:val="right"/>
            <w:rPr>
              <w:b/>
              <w:color w:val="666666"/>
              <w:sz w:val="28"/>
              <w:szCs w:val="28"/>
            </w:rPr>
          </w:pPr>
          <w:r>
            <w:rPr>
              <w:b/>
              <w:color w:val="666666"/>
              <w:sz w:val="28"/>
              <w:szCs w:val="28"/>
            </w:rPr>
            <w:fldChar w:fldCharType="begin"/>
          </w:r>
          <w:r>
            <w:rPr>
              <w:b/>
              <w:color w:val="666666"/>
              <w:sz w:val="28"/>
              <w:szCs w:val="28"/>
            </w:rPr>
            <w:instrText>PAGE</w:instrText>
          </w:r>
          <w:r>
            <w:rPr>
              <w:b/>
              <w:color w:val="666666"/>
              <w:sz w:val="28"/>
              <w:szCs w:val="28"/>
            </w:rPr>
            <w:fldChar w:fldCharType="separate"/>
          </w:r>
          <w:r w:rsidR="00AA0C17">
            <w:rPr>
              <w:b/>
              <w:noProof/>
              <w:color w:val="666666"/>
              <w:sz w:val="28"/>
              <w:szCs w:val="28"/>
            </w:rPr>
            <w:t>1</w:t>
          </w:r>
          <w:r>
            <w:rPr>
              <w:b/>
              <w:color w:val="666666"/>
              <w:sz w:val="28"/>
              <w:szCs w:val="28"/>
            </w:rPr>
            <w:fldChar w:fldCharType="end"/>
          </w:r>
          <w:r>
            <w:rPr>
              <w:b/>
              <w:color w:val="666666"/>
              <w:sz w:val="28"/>
              <w:szCs w:val="28"/>
            </w:rPr>
            <w:t>.</w:t>
          </w:r>
          <w:r>
            <w:rPr>
              <w:b/>
              <w:color w:val="666666"/>
              <w:sz w:val="28"/>
              <w:szCs w:val="28"/>
            </w:rPr>
            <w:fldChar w:fldCharType="begin"/>
          </w:r>
          <w:r>
            <w:rPr>
              <w:b/>
              <w:color w:val="666666"/>
              <w:sz w:val="28"/>
              <w:szCs w:val="28"/>
            </w:rPr>
            <w:instrText>NUMPAGES</w:instrText>
          </w:r>
          <w:r>
            <w:rPr>
              <w:b/>
              <w:color w:val="666666"/>
              <w:sz w:val="28"/>
              <w:szCs w:val="28"/>
            </w:rPr>
            <w:fldChar w:fldCharType="separate"/>
          </w:r>
          <w:r w:rsidR="00AA0C17">
            <w:rPr>
              <w:b/>
              <w:noProof/>
              <w:color w:val="666666"/>
              <w:sz w:val="28"/>
              <w:szCs w:val="28"/>
            </w:rPr>
            <w:t>2</w:t>
          </w:r>
          <w:r>
            <w:rPr>
              <w:b/>
              <w:color w:val="666666"/>
              <w:sz w:val="28"/>
              <w:szCs w:val="28"/>
            </w:rPr>
            <w:fldChar w:fldCharType="end"/>
          </w:r>
        </w:p>
      </w:tc>
    </w:tr>
  </w:tbl>
  <w:p w14:paraId="0F31023A" w14:textId="77777777" w:rsidR="00D31488" w:rsidRDefault="00D31488">
    <w:pPr>
      <w:jc w:val="left"/>
      <w:rPr>
        <w:b/>
        <w:color w:val="666666"/>
        <w:sz w:val="2"/>
        <w:szCs w:val="2"/>
      </w:rPr>
    </w:pPr>
  </w:p>
  <w:p w14:paraId="662F2AD5" w14:textId="77777777" w:rsidR="00D31488" w:rsidRDefault="00D31488"/>
  <w:p w14:paraId="3A8B1D53" w14:textId="77777777" w:rsidR="00D31488" w:rsidRDefault="00D314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E4C3" w14:textId="77777777" w:rsidR="008E5EFA" w:rsidRDefault="008E5EFA">
      <w:pPr>
        <w:spacing w:before="0" w:line="240" w:lineRule="auto"/>
      </w:pPr>
      <w:r>
        <w:separator/>
      </w:r>
    </w:p>
  </w:footnote>
  <w:footnote w:type="continuationSeparator" w:id="0">
    <w:p w14:paraId="06157503" w14:textId="77777777" w:rsidR="008E5EFA" w:rsidRDefault="008E5EF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224D" w14:textId="77777777" w:rsidR="00D31488" w:rsidRDefault="00D31488">
    <w:pPr>
      <w:rPr>
        <w:sz w:val="2"/>
        <w:szCs w:val="2"/>
      </w:rPr>
    </w:pPr>
  </w:p>
  <w:tbl>
    <w:tblPr>
      <w:tblStyle w:val="a3"/>
      <w:tblW w:w="9030" w:type="dxa"/>
      <w:tblInd w:w="0" w:type="dxa"/>
      <w:tblLayout w:type="fixed"/>
      <w:tblLook w:val="0600" w:firstRow="0" w:lastRow="0" w:firstColumn="0" w:lastColumn="0" w:noHBand="1" w:noVBand="1"/>
    </w:tblPr>
    <w:tblGrid>
      <w:gridCol w:w="3420"/>
      <w:gridCol w:w="795"/>
      <w:gridCol w:w="4815"/>
    </w:tblGrid>
    <w:tr w:rsidR="00D31488" w14:paraId="29892992" w14:textId="77777777">
      <w:trPr>
        <w:trHeight w:val="1134"/>
      </w:trPr>
      <w:tc>
        <w:tcPr>
          <w:tcW w:w="3420" w:type="dxa"/>
          <w:shd w:val="clear" w:color="auto" w:fill="auto"/>
          <w:tcMar>
            <w:top w:w="0" w:type="dxa"/>
            <w:left w:w="0" w:type="dxa"/>
            <w:bottom w:w="0" w:type="dxa"/>
            <w:right w:w="0" w:type="dxa"/>
          </w:tcMar>
          <w:vAlign w:val="center"/>
        </w:tcPr>
        <w:p w14:paraId="2EFE9919" w14:textId="77777777" w:rsidR="00D31488" w:rsidRDefault="00D31488" w:rsidP="00423E61">
          <w:pPr>
            <w:pBdr>
              <w:top w:val="nil"/>
              <w:left w:val="nil"/>
              <w:bottom w:val="nil"/>
              <w:right w:val="nil"/>
              <w:between w:val="nil"/>
            </w:pBdr>
            <w:spacing w:before="0" w:line="240" w:lineRule="auto"/>
            <w:rPr>
              <w:b/>
              <w:sz w:val="14"/>
              <w:szCs w:val="14"/>
              <w:highlight w:val="yellow"/>
            </w:rPr>
          </w:pPr>
        </w:p>
      </w:tc>
      <w:tc>
        <w:tcPr>
          <w:tcW w:w="795" w:type="dxa"/>
          <w:shd w:val="clear" w:color="auto" w:fill="auto"/>
          <w:tcMar>
            <w:top w:w="0" w:type="dxa"/>
            <w:left w:w="0" w:type="dxa"/>
            <w:bottom w:w="0" w:type="dxa"/>
            <w:right w:w="0" w:type="dxa"/>
          </w:tcMar>
          <w:vAlign w:val="center"/>
        </w:tcPr>
        <w:p w14:paraId="7844259A" w14:textId="77777777" w:rsidR="00D31488" w:rsidRDefault="00D31488">
          <w:pPr>
            <w:widowControl w:val="0"/>
            <w:pBdr>
              <w:top w:val="nil"/>
              <w:left w:val="nil"/>
              <w:bottom w:val="nil"/>
              <w:right w:val="nil"/>
              <w:between w:val="nil"/>
            </w:pBdr>
            <w:spacing w:before="0" w:line="240" w:lineRule="auto"/>
            <w:jc w:val="center"/>
            <w:rPr>
              <w:color w:val="FF0000"/>
            </w:rPr>
          </w:pPr>
        </w:p>
      </w:tc>
      <w:tc>
        <w:tcPr>
          <w:tcW w:w="4815" w:type="dxa"/>
          <w:shd w:val="clear" w:color="auto" w:fill="auto"/>
          <w:tcMar>
            <w:top w:w="0" w:type="dxa"/>
            <w:left w:w="0" w:type="dxa"/>
            <w:bottom w:w="0" w:type="dxa"/>
            <w:right w:w="0" w:type="dxa"/>
          </w:tcMar>
          <w:vAlign w:val="center"/>
        </w:tcPr>
        <w:p w14:paraId="69638243" w14:textId="77777777" w:rsidR="00D31488" w:rsidRDefault="00D31488">
          <w:pPr>
            <w:jc w:val="right"/>
            <w:rPr>
              <w:b/>
              <w:color w:val="666666"/>
              <w:sz w:val="14"/>
              <w:szCs w:val="14"/>
            </w:rPr>
          </w:pPr>
          <w:r>
            <w:rPr>
              <w:noProof/>
              <w:lang w:val="it-IT"/>
            </w:rPr>
            <w:drawing>
              <wp:inline distT="114300" distB="114300" distL="114300" distR="114300" wp14:anchorId="13350B69" wp14:editId="750384A5">
                <wp:extent cx="1764000" cy="50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4000" cy="504000"/>
                        </a:xfrm>
                        <a:prstGeom prst="rect">
                          <a:avLst/>
                        </a:prstGeom>
                        <a:ln/>
                      </pic:spPr>
                    </pic:pic>
                  </a:graphicData>
                </a:graphic>
              </wp:inline>
            </w:drawing>
          </w:r>
        </w:p>
      </w:tc>
    </w:tr>
  </w:tbl>
  <w:p w14:paraId="0E0C88BB" w14:textId="77777777" w:rsidR="00D31488" w:rsidRDefault="00D314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A1A"/>
    <w:multiLevelType w:val="hybridMultilevel"/>
    <w:tmpl w:val="1F8481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456A8"/>
    <w:multiLevelType w:val="multilevel"/>
    <w:tmpl w:val="4A1A3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967925"/>
    <w:multiLevelType w:val="hybridMultilevel"/>
    <w:tmpl w:val="41AAA3C0"/>
    <w:lvl w:ilvl="0" w:tplc="04100001">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4661DA"/>
    <w:multiLevelType w:val="hybridMultilevel"/>
    <w:tmpl w:val="5A26E82A"/>
    <w:lvl w:ilvl="0" w:tplc="4268EE10">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653B70"/>
    <w:multiLevelType w:val="hybridMultilevel"/>
    <w:tmpl w:val="F482C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781796"/>
    <w:multiLevelType w:val="hybridMultilevel"/>
    <w:tmpl w:val="029459F4"/>
    <w:lvl w:ilvl="0" w:tplc="4268EE10">
      <w:start w:val="1"/>
      <w:numFmt w:val="bullet"/>
      <w:lvlText w:val=""/>
      <w:lvlJc w:val="left"/>
      <w:pPr>
        <w:ind w:left="360" w:hanging="360"/>
      </w:pPr>
      <w:rPr>
        <w:rFonts w:ascii="Symbol" w:hAnsi="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1D7"/>
    <w:rsid w:val="00001E2F"/>
    <w:rsid w:val="00026FC2"/>
    <w:rsid w:val="00047754"/>
    <w:rsid w:val="000700C2"/>
    <w:rsid w:val="0007318C"/>
    <w:rsid w:val="00075A1A"/>
    <w:rsid w:val="00083F08"/>
    <w:rsid w:val="00086045"/>
    <w:rsid w:val="00135325"/>
    <w:rsid w:val="00150568"/>
    <w:rsid w:val="0015216C"/>
    <w:rsid w:val="00155CEA"/>
    <w:rsid w:val="00164D64"/>
    <w:rsid w:val="001668C8"/>
    <w:rsid w:val="00170BEC"/>
    <w:rsid w:val="00182DBD"/>
    <w:rsid w:val="001B37F6"/>
    <w:rsid w:val="001B3F2A"/>
    <w:rsid w:val="002169DD"/>
    <w:rsid w:val="00231FDA"/>
    <w:rsid w:val="00252C5C"/>
    <w:rsid w:val="00270E69"/>
    <w:rsid w:val="0027399E"/>
    <w:rsid w:val="00293FA8"/>
    <w:rsid w:val="002D08F8"/>
    <w:rsid w:val="002D45B4"/>
    <w:rsid w:val="002D5D46"/>
    <w:rsid w:val="002E0158"/>
    <w:rsid w:val="002E0C8F"/>
    <w:rsid w:val="002E29AE"/>
    <w:rsid w:val="002E4E2F"/>
    <w:rsid w:val="002F16E7"/>
    <w:rsid w:val="00301C12"/>
    <w:rsid w:val="0030212B"/>
    <w:rsid w:val="00305BEB"/>
    <w:rsid w:val="0035564B"/>
    <w:rsid w:val="00357426"/>
    <w:rsid w:val="003611B7"/>
    <w:rsid w:val="00373C2E"/>
    <w:rsid w:val="00385FA4"/>
    <w:rsid w:val="003A071E"/>
    <w:rsid w:val="003A7883"/>
    <w:rsid w:val="003B2572"/>
    <w:rsid w:val="00407F74"/>
    <w:rsid w:val="0041638D"/>
    <w:rsid w:val="00422C08"/>
    <w:rsid w:val="00423E61"/>
    <w:rsid w:val="004748A1"/>
    <w:rsid w:val="004A5B0B"/>
    <w:rsid w:val="004A631C"/>
    <w:rsid w:val="004B251A"/>
    <w:rsid w:val="00506616"/>
    <w:rsid w:val="00511B0C"/>
    <w:rsid w:val="005214EC"/>
    <w:rsid w:val="005220AD"/>
    <w:rsid w:val="0053316A"/>
    <w:rsid w:val="00554A7E"/>
    <w:rsid w:val="005637BE"/>
    <w:rsid w:val="005720D6"/>
    <w:rsid w:val="005734B7"/>
    <w:rsid w:val="00576F74"/>
    <w:rsid w:val="005847DE"/>
    <w:rsid w:val="005D3E6C"/>
    <w:rsid w:val="005D74B0"/>
    <w:rsid w:val="005F6089"/>
    <w:rsid w:val="00610DE2"/>
    <w:rsid w:val="00610EC9"/>
    <w:rsid w:val="00684220"/>
    <w:rsid w:val="00697429"/>
    <w:rsid w:val="006C72E0"/>
    <w:rsid w:val="006D0554"/>
    <w:rsid w:val="006D4860"/>
    <w:rsid w:val="006E1152"/>
    <w:rsid w:val="00700A9C"/>
    <w:rsid w:val="00715E6A"/>
    <w:rsid w:val="00722E57"/>
    <w:rsid w:val="0073046D"/>
    <w:rsid w:val="00754D01"/>
    <w:rsid w:val="00775C2D"/>
    <w:rsid w:val="007814AB"/>
    <w:rsid w:val="007A21D7"/>
    <w:rsid w:val="007A442A"/>
    <w:rsid w:val="007B6EE9"/>
    <w:rsid w:val="007C20B7"/>
    <w:rsid w:val="007D6BF7"/>
    <w:rsid w:val="00816CA8"/>
    <w:rsid w:val="00823849"/>
    <w:rsid w:val="00824F1A"/>
    <w:rsid w:val="008462DA"/>
    <w:rsid w:val="00881E69"/>
    <w:rsid w:val="008A563B"/>
    <w:rsid w:val="008A5AEF"/>
    <w:rsid w:val="008A781F"/>
    <w:rsid w:val="008E5EFA"/>
    <w:rsid w:val="008F63DC"/>
    <w:rsid w:val="00904151"/>
    <w:rsid w:val="009234E0"/>
    <w:rsid w:val="00927BD7"/>
    <w:rsid w:val="009362B6"/>
    <w:rsid w:val="00943A02"/>
    <w:rsid w:val="00974063"/>
    <w:rsid w:val="009B1CFE"/>
    <w:rsid w:val="009B5327"/>
    <w:rsid w:val="009C780E"/>
    <w:rsid w:val="009D1522"/>
    <w:rsid w:val="00A07551"/>
    <w:rsid w:val="00A07FA4"/>
    <w:rsid w:val="00A42BAC"/>
    <w:rsid w:val="00A53DEA"/>
    <w:rsid w:val="00A95A23"/>
    <w:rsid w:val="00AA0C17"/>
    <w:rsid w:val="00AA73AD"/>
    <w:rsid w:val="00AB0A9B"/>
    <w:rsid w:val="00AB4DC7"/>
    <w:rsid w:val="00AB50FD"/>
    <w:rsid w:val="00AC5A4F"/>
    <w:rsid w:val="00AE07CE"/>
    <w:rsid w:val="00AF7693"/>
    <w:rsid w:val="00B43E84"/>
    <w:rsid w:val="00B47610"/>
    <w:rsid w:val="00B60E8C"/>
    <w:rsid w:val="00B65225"/>
    <w:rsid w:val="00B85598"/>
    <w:rsid w:val="00BB4082"/>
    <w:rsid w:val="00BD39F0"/>
    <w:rsid w:val="00BE0E94"/>
    <w:rsid w:val="00BE5DC2"/>
    <w:rsid w:val="00C27D3E"/>
    <w:rsid w:val="00C5481D"/>
    <w:rsid w:val="00C6615D"/>
    <w:rsid w:val="00C91D31"/>
    <w:rsid w:val="00CD5527"/>
    <w:rsid w:val="00CD5E06"/>
    <w:rsid w:val="00CF0A70"/>
    <w:rsid w:val="00CF4754"/>
    <w:rsid w:val="00D04E48"/>
    <w:rsid w:val="00D16024"/>
    <w:rsid w:val="00D31488"/>
    <w:rsid w:val="00D55DBE"/>
    <w:rsid w:val="00D66F25"/>
    <w:rsid w:val="00D82382"/>
    <w:rsid w:val="00D83F10"/>
    <w:rsid w:val="00D948D7"/>
    <w:rsid w:val="00DF0303"/>
    <w:rsid w:val="00DF1214"/>
    <w:rsid w:val="00E37FA3"/>
    <w:rsid w:val="00E465B8"/>
    <w:rsid w:val="00E5024A"/>
    <w:rsid w:val="00E5110B"/>
    <w:rsid w:val="00E63112"/>
    <w:rsid w:val="00E65EDD"/>
    <w:rsid w:val="00E7274A"/>
    <w:rsid w:val="00E94693"/>
    <w:rsid w:val="00ED741D"/>
    <w:rsid w:val="00EE1F91"/>
    <w:rsid w:val="00EF53C6"/>
    <w:rsid w:val="00F009A7"/>
    <w:rsid w:val="00F018CE"/>
    <w:rsid w:val="00F14EEE"/>
    <w:rsid w:val="00F21472"/>
    <w:rsid w:val="00F301C0"/>
    <w:rsid w:val="00F302E9"/>
    <w:rsid w:val="00F3127E"/>
    <w:rsid w:val="00F57CA8"/>
    <w:rsid w:val="00F63EDA"/>
    <w:rsid w:val="00F87D42"/>
    <w:rsid w:val="00FB23B6"/>
    <w:rsid w:val="00FD01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06693"/>
  <w15:docId w15:val="{16437701-043B-4307-8DCB-08DC20A0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 w:eastAsia="it-IT" w:bidi="ar-SA"/>
      </w:rPr>
    </w:rPrDefault>
    <w:pPrDefault>
      <w:pPr>
        <w:spacing w:before="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outlineLvl w:val="0"/>
    </w:pPr>
    <w:rPr>
      <w:b/>
      <w:color w:val="114C54"/>
      <w:sz w:val="22"/>
      <w:szCs w:val="22"/>
    </w:rPr>
  </w:style>
  <w:style w:type="paragraph" w:styleId="Titolo2">
    <w:name w:val="heading 2"/>
    <w:basedOn w:val="Normale"/>
    <w:next w:val="Normale"/>
    <w:pPr>
      <w:keepNext/>
      <w:keepLines/>
      <w:spacing w:before="0"/>
      <w:outlineLvl w:val="1"/>
    </w:pPr>
    <w:rPr>
      <w:b/>
      <w:color w:val="114C54"/>
      <w:sz w:val="22"/>
      <w:szCs w:val="2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sz w:val="22"/>
      <w:szCs w:val="22"/>
    </w:rPr>
  </w:style>
  <w:style w:type="paragraph" w:styleId="Titolo6">
    <w:name w:val="heading 6"/>
    <w:basedOn w:val="Normale"/>
    <w:next w:val="Normale"/>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0" w:after="60"/>
    </w:pPr>
    <w:rPr>
      <w:sz w:val="52"/>
      <w:szCs w:val="52"/>
    </w:rPr>
  </w:style>
  <w:style w:type="paragraph" w:styleId="Sottotitolo">
    <w:name w:val="Subtitle"/>
    <w:basedOn w:val="Normale"/>
    <w:next w:val="Normale"/>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B47610"/>
    <w:pPr>
      <w:ind w:left="720"/>
      <w:contextualSpacing/>
    </w:pPr>
  </w:style>
  <w:style w:type="paragraph" w:styleId="NormaleWeb">
    <w:name w:val="Normal (Web)"/>
    <w:basedOn w:val="Normale"/>
    <w:uiPriority w:val="99"/>
    <w:semiHidden/>
    <w:unhideWhenUsed/>
    <w:rsid w:val="00AB50FD"/>
    <w:pPr>
      <w:spacing w:before="100" w:beforeAutospacing="1" w:after="100" w:afterAutospacing="1" w:line="240" w:lineRule="auto"/>
      <w:jc w:val="left"/>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AB50FD"/>
    <w:rPr>
      <w:b/>
      <w:bCs/>
    </w:rPr>
  </w:style>
  <w:style w:type="character" w:styleId="Enfasicorsivo">
    <w:name w:val="Emphasis"/>
    <w:basedOn w:val="Carpredefinitoparagrafo"/>
    <w:uiPriority w:val="20"/>
    <w:qFormat/>
    <w:rsid w:val="00AB50FD"/>
    <w:rPr>
      <w:i/>
      <w:iCs/>
    </w:rPr>
  </w:style>
  <w:style w:type="paragraph" w:styleId="Testofumetto">
    <w:name w:val="Balloon Text"/>
    <w:basedOn w:val="Normale"/>
    <w:link w:val="TestofumettoCarattere"/>
    <w:uiPriority w:val="99"/>
    <w:semiHidden/>
    <w:unhideWhenUsed/>
    <w:rsid w:val="004A5B0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0B"/>
    <w:rPr>
      <w:rFonts w:ascii="Segoe UI" w:hAnsi="Segoe UI" w:cs="Segoe UI"/>
      <w:sz w:val="18"/>
      <w:szCs w:val="18"/>
    </w:rPr>
  </w:style>
  <w:style w:type="paragraph" w:customStyle="1" w:styleId="Normale1">
    <w:name w:val="Normale1"/>
    <w:rsid w:val="00824F1A"/>
    <w:rPr>
      <w:lang w:val="it-IT"/>
    </w:rPr>
  </w:style>
  <w:style w:type="paragraph" w:customStyle="1" w:styleId="Default">
    <w:name w:val="Default"/>
    <w:rsid w:val="00824F1A"/>
    <w:pPr>
      <w:autoSpaceDE w:val="0"/>
      <w:autoSpaceDN w:val="0"/>
      <w:adjustRightInd w:val="0"/>
      <w:spacing w:before="0" w:line="240" w:lineRule="auto"/>
      <w:jc w:val="left"/>
    </w:pPr>
    <w:rPr>
      <w:color w:val="000000"/>
      <w:sz w:val="24"/>
      <w:szCs w:val="24"/>
      <w:lang w:val="it-IT"/>
    </w:rPr>
  </w:style>
  <w:style w:type="paragraph" w:styleId="Intestazione">
    <w:name w:val="header"/>
    <w:basedOn w:val="Normale"/>
    <w:link w:val="IntestazioneCarattere"/>
    <w:uiPriority w:val="99"/>
    <w:unhideWhenUsed/>
    <w:rsid w:val="003A7883"/>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3A7883"/>
  </w:style>
  <w:style w:type="paragraph" w:styleId="Pidipagina">
    <w:name w:val="footer"/>
    <w:basedOn w:val="Normale"/>
    <w:link w:val="PidipaginaCarattere"/>
    <w:uiPriority w:val="99"/>
    <w:unhideWhenUsed/>
    <w:rsid w:val="003A7883"/>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3A7883"/>
  </w:style>
  <w:style w:type="character" w:styleId="Collegamentoipertestuale">
    <w:name w:val="Hyperlink"/>
    <w:basedOn w:val="Carpredefinitoparagrafo"/>
    <w:uiPriority w:val="99"/>
    <w:unhideWhenUsed/>
    <w:rsid w:val="00231F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87723">
      <w:bodyDiv w:val="1"/>
      <w:marLeft w:val="0"/>
      <w:marRight w:val="0"/>
      <w:marTop w:val="0"/>
      <w:marBottom w:val="0"/>
      <w:divBdr>
        <w:top w:val="none" w:sz="0" w:space="0" w:color="auto"/>
        <w:left w:val="none" w:sz="0" w:space="0" w:color="auto"/>
        <w:bottom w:val="none" w:sz="0" w:space="0" w:color="auto"/>
        <w:right w:val="none" w:sz="0" w:space="0" w:color="auto"/>
      </w:divBdr>
    </w:div>
    <w:div w:id="1129200905">
      <w:bodyDiv w:val="1"/>
      <w:marLeft w:val="0"/>
      <w:marRight w:val="0"/>
      <w:marTop w:val="0"/>
      <w:marBottom w:val="0"/>
      <w:divBdr>
        <w:top w:val="none" w:sz="0" w:space="0" w:color="auto"/>
        <w:left w:val="none" w:sz="0" w:space="0" w:color="auto"/>
        <w:bottom w:val="none" w:sz="0" w:space="0" w:color="auto"/>
        <w:right w:val="none" w:sz="0" w:space="0" w:color="auto"/>
      </w:divBdr>
      <w:divsChild>
        <w:div w:id="36469990">
          <w:marLeft w:val="0"/>
          <w:marRight w:val="0"/>
          <w:marTop w:val="0"/>
          <w:marBottom w:val="0"/>
          <w:divBdr>
            <w:top w:val="none" w:sz="0" w:space="0" w:color="auto"/>
            <w:left w:val="none" w:sz="0" w:space="0" w:color="auto"/>
            <w:bottom w:val="none" w:sz="0" w:space="0" w:color="auto"/>
            <w:right w:val="none" w:sz="0" w:space="0" w:color="auto"/>
          </w:divBdr>
          <w:divsChild>
            <w:div w:id="909117571">
              <w:marLeft w:val="0"/>
              <w:marRight w:val="0"/>
              <w:marTop w:val="0"/>
              <w:marBottom w:val="0"/>
              <w:divBdr>
                <w:top w:val="none" w:sz="0" w:space="0" w:color="auto"/>
                <w:left w:val="none" w:sz="0" w:space="0" w:color="auto"/>
                <w:bottom w:val="none" w:sz="0" w:space="0" w:color="auto"/>
                <w:right w:val="none" w:sz="0" w:space="0" w:color="auto"/>
              </w:divBdr>
              <w:divsChild>
                <w:div w:id="983974419">
                  <w:marLeft w:val="0"/>
                  <w:marRight w:val="0"/>
                  <w:marTop w:val="0"/>
                  <w:marBottom w:val="0"/>
                  <w:divBdr>
                    <w:top w:val="none" w:sz="0" w:space="0" w:color="auto"/>
                    <w:left w:val="none" w:sz="0" w:space="0" w:color="auto"/>
                    <w:bottom w:val="none" w:sz="0" w:space="0" w:color="auto"/>
                    <w:right w:val="none" w:sz="0" w:space="0" w:color="auto"/>
                  </w:divBdr>
                </w:div>
                <w:div w:id="2004432734">
                  <w:marLeft w:val="0"/>
                  <w:marRight w:val="0"/>
                  <w:marTop w:val="0"/>
                  <w:marBottom w:val="0"/>
                  <w:divBdr>
                    <w:top w:val="none" w:sz="0" w:space="0" w:color="auto"/>
                    <w:left w:val="none" w:sz="0" w:space="0" w:color="auto"/>
                    <w:bottom w:val="none" w:sz="0" w:space="0" w:color="auto"/>
                    <w:right w:val="none" w:sz="0" w:space="0" w:color="auto"/>
                  </w:divBdr>
                </w:div>
                <w:div w:id="507718617">
                  <w:marLeft w:val="0"/>
                  <w:marRight w:val="0"/>
                  <w:marTop w:val="0"/>
                  <w:marBottom w:val="0"/>
                  <w:divBdr>
                    <w:top w:val="none" w:sz="0" w:space="0" w:color="auto"/>
                    <w:left w:val="none" w:sz="0" w:space="0" w:color="auto"/>
                    <w:bottom w:val="none" w:sz="0" w:space="0" w:color="auto"/>
                    <w:right w:val="none" w:sz="0" w:space="0" w:color="auto"/>
                  </w:divBdr>
                </w:div>
                <w:div w:id="1218322581">
                  <w:marLeft w:val="0"/>
                  <w:marRight w:val="0"/>
                  <w:marTop w:val="0"/>
                  <w:marBottom w:val="0"/>
                  <w:divBdr>
                    <w:top w:val="none" w:sz="0" w:space="0" w:color="auto"/>
                    <w:left w:val="none" w:sz="0" w:space="0" w:color="auto"/>
                    <w:bottom w:val="none" w:sz="0" w:space="0" w:color="auto"/>
                    <w:right w:val="none" w:sz="0" w:space="0" w:color="auto"/>
                  </w:divBdr>
                </w:div>
                <w:div w:id="104735719">
                  <w:marLeft w:val="0"/>
                  <w:marRight w:val="0"/>
                  <w:marTop w:val="0"/>
                  <w:marBottom w:val="0"/>
                  <w:divBdr>
                    <w:top w:val="none" w:sz="0" w:space="0" w:color="auto"/>
                    <w:left w:val="none" w:sz="0" w:space="0" w:color="auto"/>
                    <w:bottom w:val="none" w:sz="0" w:space="0" w:color="auto"/>
                    <w:right w:val="none" w:sz="0" w:space="0" w:color="auto"/>
                  </w:divBdr>
                </w:div>
                <w:div w:id="2010714978">
                  <w:marLeft w:val="0"/>
                  <w:marRight w:val="0"/>
                  <w:marTop w:val="0"/>
                  <w:marBottom w:val="0"/>
                  <w:divBdr>
                    <w:top w:val="none" w:sz="0" w:space="0" w:color="auto"/>
                    <w:left w:val="none" w:sz="0" w:space="0" w:color="auto"/>
                    <w:bottom w:val="none" w:sz="0" w:space="0" w:color="auto"/>
                    <w:right w:val="none" w:sz="0" w:space="0" w:color="auto"/>
                  </w:divBdr>
                </w:div>
                <w:div w:id="664629087">
                  <w:marLeft w:val="0"/>
                  <w:marRight w:val="0"/>
                  <w:marTop w:val="0"/>
                  <w:marBottom w:val="0"/>
                  <w:divBdr>
                    <w:top w:val="none" w:sz="0" w:space="0" w:color="auto"/>
                    <w:left w:val="none" w:sz="0" w:space="0" w:color="auto"/>
                    <w:bottom w:val="none" w:sz="0" w:space="0" w:color="auto"/>
                    <w:right w:val="none" w:sz="0" w:space="0" w:color="auto"/>
                  </w:divBdr>
                </w:div>
                <w:div w:id="957491681">
                  <w:marLeft w:val="0"/>
                  <w:marRight w:val="0"/>
                  <w:marTop w:val="0"/>
                  <w:marBottom w:val="0"/>
                  <w:divBdr>
                    <w:top w:val="none" w:sz="0" w:space="0" w:color="auto"/>
                    <w:left w:val="none" w:sz="0" w:space="0" w:color="auto"/>
                    <w:bottom w:val="none" w:sz="0" w:space="0" w:color="auto"/>
                    <w:right w:val="none" w:sz="0" w:space="0" w:color="auto"/>
                  </w:divBdr>
                </w:div>
                <w:div w:id="774400970">
                  <w:marLeft w:val="0"/>
                  <w:marRight w:val="0"/>
                  <w:marTop w:val="0"/>
                  <w:marBottom w:val="0"/>
                  <w:divBdr>
                    <w:top w:val="none" w:sz="0" w:space="0" w:color="auto"/>
                    <w:left w:val="none" w:sz="0" w:space="0" w:color="auto"/>
                    <w:bottom w:val="none" w:sz="0" w:space="0" w:color="auto"/>
                    <w:right w:val="none" w:sz="0" w:space="0" w:color="auto"/>
                  </w:divBdr>
                </w:div>
                <w:div w:id="1079207051">
                  <w:marLeft w:val="0"/>
                  <w:marRight w:val="0"/>
                  <w:marTop w:val="0"/>
                  <w:marBottom w:val="0"/>
                  <w:divBdr>
                    <w:top w:val="none" w:sz="0" w:space="0" w:color="auto"/>
                    <w:left w:val="none" w:sz="0" w:space="0" w:color="auto"/>
                    <w:bottom w:val="none" w:sz="0" w:space="0" w:color="auto"/>
                    <w:right w:val="none" w:sz="0" w:space="0" w:color="auto"/>
                  </w:divBdr>
                </w:div>
                <w:div w:id="1179197010">
                  <w:marLeft w:val="0"/>
                  <w:marRight w:val="0"/>
                  <w:marTop w:val="0"/>
                  <w:marBottom w:val="0"/>
                  <w:divBdr>
                    <w:top w:val="none" w:sz="0" w:space="0" w:color="auto"/>
                    <w:left w:val="none" w:sz="0" w:space="0" w:color="auto"/>
                    <w:bottom w:val="none" w:sz="0" w:space="0" w:color="auto"/>
                    <w:right w:val="none" w:sz="0" w:space="0" w:color="auto"/>
                  </w:divBdr>
                </w:div>
                <w:div w:id="1037893725">
                  <w:marLeft w:val="0"/>
                  <w:marRight w:val="0"/>
                  <w:marTop w:val="0"/>
                  <w:marBottom w:val="0"/>
                  <w:divBdr>
                    <w:top w:val="none" w:sz="0" w:space="0" w:color="auto"/>
                    <w:left w:val="none" w:sz="0" w:space="0" w:color="auto"/>
                    <w:bottom w:val="none" w:sz="0" w:space="0" w:color="auto"/>
                    <w:right w:val="none" w:sz="0" w:space="0" w:color="auto"/>
                  </w:divBdr>
                </w:div>
                <w:div w:id="1938828638">
                  <w:marLeft w:val="0"/>
                  <w:marRight w:val="0"/>
                  <w:marTop w:val="0"/>
                  <w:marBottom w:val="0"/>
                  <w:divBdr>
                    <w:top w:val="none" w:sz="0" w:space="0" w:color="auto"/>
                    <w:left w:val="none" w:sz="0" w:space="0" w:color="auto"/>
                    <w:bottom w:val="none" w:sz="0" w:space="0" w:color="auto"/>
                    <w:right w:val="none" w:sz="0" w:space="0" w:color="auto"/>
                  </w:divBdr>
                </w:div>
                <w:div w:id="5910431">
                  <w:marLeft w:val="0"/>
                  <w:marRight w:val="0"/>
                  <w:marTop w:val="0"/>
                  <w:marBottom w:val="0"/>
                  <w:divBdr>
                    <w:top w:val="none" w:sz="0" w:space="0" w:color="auto"/>
                    <w:left w:val="none" w:sz="0" w:space="0" w:color="auto"/>
                    <w:bottom w:val="none" w:sz="0" w:space="0" w:color="auto"/>
                    <w:right w:val="none" w:sz="0" w:space="0" w:color="auto"/>
                  </w:divBdr>
                </w:div>
                <w:div w:id="1870799844">
                  <w:marLeft w:val="0"/>
                  <w:marRight w:val="0"/>
                  <w:marTop w:val="0"/>
                  <w:marBottom w:val="0"/>
                  <w:divBdr>
                    <w:top w:val="none" w:sz="0" w:space="0" w:color="auto"/>
                    <w:left w:val="none" w:sz="0" w:space="0" w:color="auto"/>
                    <w:bottom w:val="none" w:sz="0" w:space="0" w:color="auto"/>
                    <w:right w:val="none" w:sz="0" w:space="0" w:color="auto"/>
                  </w:divBdr>
                </w:div>
                <w:div w:id="1802990640">
                  <w:marLeft w:val="0"/>
                  <w:marRight w:val="0"/>
                  <w:marTop w:val="0"/>
                  <w:marBottom w:val="0"/>
                  <w:divBdr>
                    <w:top w:val="none" w:sz="0" w:space="0" w:color="auto"/>
                    <w:left w:val="none" w:sz="0" w:space="0" w:color="auto"/>
                    <w:bottom w:val="none" w:sz="0" w:space="0" w:color="auto"/>
                    <w:right w:val="none" w:sz="0" w:space="0" w:color="auto"/>
                  </w:divBdr>
                </w:div>
                <w:div w:id="22632698">
                  <w:marLeft w:val="0"/>
                  <w:marRight w:val="0"/>
                  <w:marTop w:val="0"/>
                  <w:marBottom w:val="0"/>
                  <w:divBdr>
                    <w:top w:val="none" w:sz="0" w:space="0" w:color="auto"/>
                    <w:left w:val="none" w:sz="0" w:space="0" w:color="auto"/>
                    <w:bottom w:val="none" w:sz="0" w:space="0" w:color="auto"/>
                    <w:right w:val="none" w:sz="0" w:space="0" w:color="auto"/>
                  </w:divBdr>
                </w:div>
                <w:div w:id="320543052">
                  <w:marLeft w:val="0"/>
                  <w:marRight w:val="0"/>
                  <w:marTop w:val="0"/>
                  <w:marBottom w:val="0"/>
                  <w:divBdr>
                    <w:top w:val="none" w:sz="0" w:space="0" w:color="auto"/>
                    <w:left w:val="none" w:sz="0" w:space="0" w:color="auto"/>
                    <w:bottom w:val="none" w:sz="0" w:space="0" w:color="auto"/>
                    <w:right w:val="none" w:sz="0" w:space="0" w:color="auto"/>
                  </w:divBdr>
                </w:div>
                <w:div w:id="17853359">
                  <w:marLeft w:val="0"/>
                  <w:marRight w:val="0"/>
                  <w:marTop w:val="0"/>
                  <w:marBottom w:val="0"/>
                  <w:divBdr>
                    <w:top w:val="none" w:sz="0" w:space="0" w:color="auto"/>
                    <w:left w:val="none" w:sz="0" w:space="0" w:color="auto"/>
                    <w:bottom w:val="none" w:sz="0" w:space="0" w:color="auto"/>
                    <w:right w:val="none" w:sz="0" w:space="0" w:color="auto"/>
                  </w:divBdr>
                </w:div>
                <w:div w:id="997882663">
                  <w:marLeft w:val="0"/>
                  <w:marRight w:val="0"/>
                  <w:marTop w:val="0"/>
                  <w:marBottom w:val="0"/>
                  <w:divBdr>
                    <w:top w:val="none" w:sz="0" w:space="0" w:color="auto"/>
                    <w:left w:val="none" w:sz="0" w:space="0" w:color="auto"/>
                    <w:bottom w:val="none" w:sz="0" w:space="0" w:color="auto"/>
                    <w:right w:val="none" w:sz="0" w:space="0" w:color="auto"/>
                  </w:divBdr>
                </w:div>
                <w:div w:id="620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3028">
      <w:bodyDiv w:val="1"/>
      <w:marLeft w:val="0"/>
      <w:marRight w:val="0"/>
      <w:marTop w:val="0"/>
      <w:marBottom w:val="0"/>
      <w:divBdr>
        <w:top w:val="none" w:sz="0" w:space="0" w:color="auto"/>
        <w:left w:val="none" w:sz="0" w:space="0" w:color="auto"/>
        <w:bottom w:val="none" w:sz="0" w:space="0" w:color="auto"/>
        <w:right w:val="none" w:sz="0" w:space="0" w:color="auto"/>
      </w:divBdr>
    </w:div>
    <w:div w:id="1800607757">
      <w:bodyDiv w:val="1"/>
      <w:marLeft w:val="0"/>
      <w:marRight w:val="0"/>
      <w:marTop w:val="0"/>
      <w:marBottom w:val="0"/>
      <w:divBdr>
        <w:top w:val="none" w:sz="0" w:space="0" w:color="auto"/>
        <w:left w:val="none" w:sz="0" w:space="0" w:color="auto"/>
        <w:bottom w:val="none" w:sz="0" w:space="0" w:color="auto"/>
        <w:right w:val="none" w:sz="0" w:space="0" w:color="auto"/>
      </w:divBdr>
      <w:divsChild>
        <w:div w:id="596913821">
          <w:marLeft w:val="0"/>
          <w:marRight w:val="0"/>
          <w:marTop w:val="0"/>
          <w:marBottom w:val="0"/>
          <w:divBdr>
            <w:top w:val="none" w:sz="0" w:space="0" w:color="auto"/>
            <w:left w:val="none" w:sz="0" w:space="0" w:color="auto"/>
            <w:bottom w:val="none" w:sz="0" w:space="0" w:color="auto"/>
            <w:right w:val="none" w:sz="0" w:space="0" w:color="auto"/>
          </w:divBdr>
          <w:divsChild>
            <w:div w:id="320353818">
              <w:marLeft w:val="0"/>
              <w:marRight w:val="0"/>
              <w:marTop w:val="0"/>
              <w:marBottom w:val="0"/>
              <w:divBdr>
                <w:top w:val="none" w:sz="0" w:space="0" w:color="auto"/>
                <w:left w:val="none" w:sz="0" w:space="0" w:color="auto"/>
                <w:bottom w:val="none" w:sz="0" w:space="0" w:color="auto"/>
                <w:right w:val="none" w:sz="0" w:space="0" w:color="auto"/>
              </w:divBdr>
            </w:div>
          </w:divsChild>
        </w:div>
        <w:div w:id="788360092">
          <w:marLeft w:val="0"/>
          <w:marRight w:val="0"/>
          <w:marTop w:val="0"/>
          <w:marBottom w:val="0"/>
          <w:divBdr>
            <w:top w:val="none" w:sz="0" w:space="0" w:color="auto"/>
            <w:left w:val="none" w:sz="0" w:space="0" w:color="auto"/>
            <w:bottom w:val="none" w:sz="0" w:space="0" w:color="auto"/>
            <w:right w:val="none" w:sz="0" w:space="0" w:color="auto"/>
          </w:divBdr>
          <w:divsChild>
            <w:div w:id="13088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9867">
      <w:bodyDiv w:val="1"/>
      <w:marLeft w:val="0"/>
      <w:marRight w:val="0"/>
      <w:marTop w:val="0"/>
      <w:marBottom w:val="0"/>
      <w:divBdr>
        <w:top w:val="none" w:sz="0" w:space="0" w:color="auto"/>
        <w:left w:val="none" w:sz="0" w:space="0" w:color="auto"/>
        <w:bottom w:val="none" w:sz="0" w:space="0" w:color="auto"/>
        <w:right w:val="none" w:sz="0" w:space="0" w:color="auto"/>
      </w:divBdr>
      <w:divsChild>
        <w:div w:id="15534221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et.regione.pugl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asset.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3794-2082-4211-BDBC-A2A3D1D4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1045</Words>
  <Characters>5958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Microsoft Office User</cp:lastModifiedBy>
  <cp:revision>15</cp:revision>
  <cp:lastPrinted>2022-02-10T19:22:00Z</cp:lastPrinted>
  <dcterms:created xsi:type="dcterms:W3CDTF">2022-06-08T09:09:00Z</dcterms:created>
  <dcterms:modified xsi:type="dcterms:W3CDTF">2023-12-27T11:37:00Z</dcterms:modified>
</cp:coreProperties>
</file>