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tif" ContentType="image/tiff"/>
  <Override PartName="/word/media/image3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85" w:after="227"/>
        <w:ind w:hanging="354" w:left="142" w:right="-3"/>
        <w:jc w:val="center"/>
        <w:rPr>
          <w:rFonts w:ascii="Calibri" w:hAnsi="Calibri" w:eastAsia="Calibri" w:cs="Calibri"/>
          <w:b/>
          <w:bCs/>
          <w:color w:val="2A6099"/>
          <w:sz w:val="36"/>
          <w:szCs w:val="36"/>
        </w:rPr>
      </w:pPr>
      <w:r>
        <w:rPr>
          <w:rFonts w:eastAsia="Calibri" w:cs="Calibri" w:ascii="Calibri" w:hAnsi="Calibri"/>
          <w:b/>
          <w:bCs/>
          <w:color w:val="2A6099"/>
          <w:sz w:val="36"/>
          <w:szCs w:val="36"/>
        </w:rPr>
        <w:t>POC Puglia 2021-2027</w:t>
      </w:r>
    </w:p>
    <w:p>
      <w:pPr>
        <w:pStyle w:val="Normal"/>
        <w:ind w:hanging="354" w:left="142" w:right="-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CIPESS 6/2025</w:t>
      </w:r>
    </w:p>
    <w:p>
      <w:pPr>
        <w:pStyle w:val="Normal"/>
        <w:ind w:hanging="354" w:left="142" w:right="-3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Area tematica 06 - Linea di Intervento 06.02 “Attività culturali”</w:t>
      </w:r>
    </w:p>
    <w:p>
      <w:pPr>
        <w:pStyle w:val="normal111"/>
        <w:ind w:left="-142"/>
        <w:jc w:val="center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Azione “</w:t>
      </w:r>
      <w:r>
        <w:rPr>
          <w:rFonts w:ascii="Calibri" w:hAnsi="Calibri"/>
          <w:sz w:val="22"/>
          <w:szCs w:val="22"/>
        </w:rPr>
        <w:t>Valorizzazione e  promozione della  Cultura, della  Creatività e dei  Talenti”</w:t>
      </w:r>
    </w:p>
    <w:p>
      <w:pPr>
        <w:pStyle w:val="normal111"/>
        <w:spacing w:before="0" w:after="510"/>
        <w:ind w:left="-142"/>
        <w:jc w:val="center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Attività “Sostegno alle produzioni culturali delle ICC e altre organizzazioni culturali”</w:t>
      </w:r>
    </w:p>
    <w:p>
      <w:pPr>
        <w:pStyle w:val="Normal"/>
        <w:spacing w:before="1191" w:after="397"/>
        <w:ind w:hanging="354" w:left="142" w:right="-3"/>
        <w:jc w:val="center"/>
        <w:rPr>
          <w:rFonts w:ascii="Calibri" w:hAnsi="Calibri" w:eastAsia="Calibri" w:cs="Calibri"/>
          <w:b/>
          <w:bCs/>
          <w:color w:val="2A6099"/>
          <w:sz w:val="32"/>
          <w:szCs w:val="32"/>
        </w:rPr>
      </w:pPr>
      <w:r>
        <w:rPr>
          <w:rFonts w:eastAsia="Calibri" w:cs="Calibri" w:ascii="Calibri" w:hAnsi="Calibri"/>
          <w:b/>
          <w:bCs/>
          <w:color w:val="2A6099"/>
          <w:sz w:val="32"/>
          <w:szCs w:val="32"/>
        </w:rPr>
        <w:t>ALLEGATO A3</w:t>
      </w:r>
    </w:p>
    <w:p>
      <w:pPr>
        <w:pStyle w:val="Normal"/>
        <w:spacing w:before="57" w:after="397"/>
        <w:ind w:hanging="354" w:left="142" w:right="-3"/>
        <w:jc w:val="center"/>
        <w:rPr>
          <w:rFonts w:ascii="Calibri" w:hAnsi="Calibri" w:eastAsia="Calibri" w:cs="Calibri"/>
          <w:b/>
          <w:bCs/>
          <w:color w:val="2A6099"/>
          <w:sz w:val="32"/>
          <w:szCs w:val="32"/>
        </w:rPr>
      </w:pPr>
      <w:r>
        <w:rPr>
          <w:rFonts w:eastAsia="Calibri" w:cs="Calibri" w:ascii="Calibri" w:hAnsi="Calibri"/>
          <w:b/>
          <w:bCs/>
          <w:color w:val="2A6099"/>
          <w:sz w:val="32"/>
          <w:szCs w:val="32"/>
        </w:rPr>
        <w:t>Dichiarazione di possesso dei requisiti di ammissibilità dei Partner</w:t>
      </w:r>
    </w:p>
    <w:p>
      <w:pPr>
        <w:pStyle w:val="Normal"/>
        <w:ind w:hanging="354" w:left="142" w:right="-3"/>
        <w:jc w:val="center"/>
        <w:rPr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>AVVISO PUBBLICO CON PROCEDURA VALUTATIVA A SPORTELLO</w:t>
      </w:r>
    </w:p>
    <w:p>
      <w:pPr>
        <w:pStyle w:val="Normal"/>
        <w:ind w:hanging="354" w:left="142" w:right="-3"/>
        <w:jc w:val="center"/>
        <w:rPr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 xml:space="preserve">PER IL SOSTEGNO ALLE </w:t>
      </w:r>
      <w:r>
        <w:rPr>
          <w:rFonts w:eastAsia="Calibri" w:cs="Calibri" w:ascii="Calibri" w:hAnsi="Calibri"/>
          <w:color w:val="000000"/>
          <w:sz w:val="28"/>
          <w:szCs w:val="28"/>
        </w:rPr>
        <w:t>ATTIVITÀ DI SPETTACOLO DAL VIVO</w:t>
      </w:r>
    </w:p>
    <w:p>
      <w:pPr>
        <w:pStyle w:val="Normal"/>
        <w:spacing w:before="0" w:after="120"/>
        <w:ind w:hanging="354" w:left="142" w:right="-3"/>
        <w:jc w:val="center"/>
        <w:rPr>
          <w:sz w:val="28"/>
          <w:szCs w:val="28"/>
        </w:rPr>
      </w:pPr>
      <w:r>
        <w:rPr>
          <w:rFonts w:eastAsia="Calibri" w:cs="Calibri" w:ascii="Calibri" w:hAnsi="Calibri"/>
          <w:sz w:val="28"/>
          <w:szCs w:val="28"/>
        </w:rPr>
        <w:t>TRIENNIO</w:t>
      </w:r>
      <w:r>
        <w:rPr>
          <w:rFonts w:eastAsia="Calibri" w:cs="Calibri" w:ascii="Calibri" w:hAnsi="Calibri"/>
          <w:color w:val="000000"/>
          <w:sz w:val="28"/>
          <w:szCs w:val="28"/>
        </w:rPr>
        <w:t xml:space="preserve"> 202</w:t>
      </w:r>
      <w:r>
        <w:rPr>
          <w:rFonts w:eastAsia="Calibri" w:cs="Calibri" w:ascii="Calibri" w:hAnsi="Calibri"/>
          <w:sz w:val="28"/>
          <w:szCs w:val="28"/>
        </w:rPr>
        <w:t>5 -2027</w:t>
      </w:r>
      <w:r>
        <w:br w:type="page"/>
      </w:r>
    </w:p>
    <w:p>
      <w:pPr>
        <w:pStyle w:val="Heading2"/>
        <w:spacing w:before="0" w:after="0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Cs/>
          <w:color w:val="000000"/>
        </w:rPr>
        <w:t>Oggetto:</w:t>
      </w:r>
      <w:r>
        <w:rPr>
          <w:rFonts w:eastAsia="Calibri" w:cs="Calibri" w:ascii="Calibri" w:hAnsi="Calibri"/>
          <w:b w:val="false"/>
          <w:color w:val="000000"/>
        </w:rPr>
        <w:t xml:space="preserve"> </w:t>
      </w:r>
      <w:r>
        <w:rPr>
          <w:rFonts w:eastAsia="Calibri" w:cs="Calibri" w:ascii="Calibri" w:hAnsi="Calibri"/>
          <w:bCs/>
          <w:color w:val="000000"/>
        </w:rPr>
        <w:t>D.</w:t>
      </w:r>
      <w:r>
        <w:rPr>
          <w:rFonts w:eastAsia="Calibri" w:cs="Calibri" w:ascii="Calibri" w:hAnsi="Calibri"/>
          <w:bCs/>
          <w:color w:val="000000"/>
          <w:shd w:fill="auto" w:val="clear"/>
        </w:rPr>
        <w:t>D. n. 353 del 31/10/2025</w:t>
      </w:r>
      <w:r>
        <w:rPr>
          <w:rFonts w:eastAsia="Calibri" w:cs="Calibri" w:ascii="Calibri" w:hAnsi="Calibri"/>
          <w:b w:val="false"/>
          <w:color w:val="000000"/>
        </w:rPr>
        <w:t xml:space="preserve"> - </w:t>
      </w:r>
      <w:r>
        <w:rPr>
          <w:rFonts w:eastAsia="Calibri" w:cs="Calibri" w:ascii="Calibri" w:hAnsi="Calibri"/>
          <w:b w:val="false"/>
          <w:color w:val="000000"/>
          <w:shd w:fill="FFFFFF" w:val="clear"/>
        </w:rPr>
        <w:t>POC PUGLIA 2021-2027 - Linea d’intervento 6.2 “Valorizzazione e promozione della Cultura, della Creatività e dei Talenti - Sostegno alle produzioni culturali delle Imprese Culturali e C</w:t>
      </w:r>
      <w:r>
        <w:rPr>
          <w:rFonts w:eastAsia="Calibri" w:cs="Calibri" w:ascii="Calibri" w:hAnsi="Calibri"/>
          <w:b w:val="false"/>
          <w:color w:val="000000"/>
        </w:rPr>
        <w:t>reative</w:t>
      </w:r>
      <w:r>
        <w:rPr>
          <w:rFonts w:eastAsia="Calibri" w:cs="Calibri" w:ascii="Calibri" w:hAnsi="Calibri"/>
          <w:b w:val="false"/>
          <w:color w:val="000000"/>
          <w:shd w:fill="FFFFFF" w:val="clear"/>
        </w:rPr>
        <w:t xml:space="preserve"> e altre organizzazioni culturali”. </w:t>
      </w:r>
      <w:r>
        <w:rPr>
          <w:rFonts w:eastAsia="Calibri" w:cs="Calibri" w:ascii="Calibri" w:hAnsi="Calibri"/>
          <w:b w:val="false"/>
          <w:color w:val="000000"/>
        </w:rPr>
        <w:t>Avviso pubblico con procedura valutativa a sportello per il sostegno alle attività di Spettacolo dal vivo - Triennio 2025-2027</w:t>
      </w:r>
      <w:r>
        <w:rPr>
          <w:rFonts w:eastAsia="Calibri" w:cs="Calibri" w:ascii="Calibri" w:hAnsi="Calibri"/>
          <w:b w:val="false"/>
          <w:color w:val="000000"/>
          <w:shd w:fill="FFFFFF" w:val="clear"/>
        </w:rPr>
        <w:t>.</w:t>
      </w:r>
      <w:r>
        <w:rPr>
          <w:rFonts w:eastAsia="Calibri" w:cs="Calibri" w:ascii="Calibri" w:hAnsi="Calibri"/>
          <w:b w:val="false"/>
          <w:color w:val="000000"/>
        </w:rPr>
        <w:t xml:space="preserve"> </w:t>
      </w:r>
      <w:r>
        <w:rPr>
          <w:rFonts w:eastAsia="Calibri" w:cs="Calibri" w:ascii="Calibri" w:hAnsi="Calibri"/>
          <w:bCs/>
        </w:rPr>
        <w:t>Dichiarazione di possesso dei requisiti di ammissibilità dei Partner</w:t>
      </w:r>
      <w:r>
        <w:rPr>
          <w:rFonts w:eastAsia="Calibri" w:cs="Calibri" w:ascii="Calibri" w:hAnsi="Calibri"/>
          <w:bCs/>
          <w:color w:val="000000"/>
          <w:shd w:fill="FFFFFF" w:val="clear"/>
        </w:rPr>
        <w:t>.</w:t>
      </w:r>
    </w:p>
    <w:p>
      <w:pPr>
        <w:pStyle w:val="BodyText"/>
        <w:spacing w:before="283" w:after="0"/>
        <w:rPr>
          <w:rFonts w:ascii="Calibri" w:hAnsi="Calibri"/>
        </w:rPr>
      </w:pPr>
      <w:r>
        <w:rPr>
          <w:rFonts w:ascii="Calibri" w:hAnsi="Calibri"/>
        </w:rPr>
        <w:t>Il/La sottoscritto/a _____________________ nato/a a _____________________ (__) il ______________ in qualità di Legale rappresentante del Partner N. 1 / 2 / 3______________________, partecipante alla proposta progettuale___________________________ avente come Capofila__________________________</w:t>
      </w:r>
    </w:p>
    <w:p>
      <w:pPr>
        <w:pStyle w:val="normal1"/>
        <w:widowControl w:val="false"/>
        <w:numPr>
          <w:ilvl w:val="0"/>
          <w:numId w:val="1"/>
        </w:numPr>
        <w:spacing w:lineRule="auto" w:line="242" w:before="360" w:after="120"/>
        <w:ind w:hanging="425" w:left="709"/>
        <w:jc w:val="both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ANAGRAFICA SOGGETTO</w:t>
      </w:r>
    </w:p>
    <w:tbl>
      <w:tblPr>
        <w:tblW w:w="8931" w:type="dxa"/>
        <w:jc w:val="left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0" w:lastRow="0" w:firstColumn="0" w:lastColumn="0" w:noHBand="0" w:val="0000"/>
      </w:tblPr>
      <w:tblGrid>
        <w:gridCol w:w="3266"/>
        <w:gridCol w:w="5664"/>
      </w:tblGrid>
      <w:tr>
        <w:trPr>
          <w:trHeight w:val="374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94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Natura giuridica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Sede legale</w:t>
            </w:r>
          </w:p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(Indirizzo, Cap, Città, Prov.)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Sede operativa</w:t>
            </w:r>
          </w:p>
          <w:p>
            <w:pPr>
              <w:pStyle w:val="Normal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(Indirizzo, Cap, Città, Prov.)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/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Codice fiscale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Partita IVA</w:t>
            </w:r>
          </w:p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0"/>
                <w:sz w:val="18"/>
                <w:szCs w:val="18"/>
              </w:rPr>
              <w:t>(eventuale)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Numero REA</w:t>
            </w:r>
          </w:p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0"/>
                <w:sz w:val="18"/>
                <w:szCs w:val="18"/>
              </w:rPr>
              <w:t>(eventuale)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Codici Ateco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_____________________</w:t>
            </w:r>
          </w:p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_____________________</w:t>
            </w:r>
          </w:p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  <w:t>_____________________</w:t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Indirizzo PEC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2"/>
              <w:rPr>
                <w:rFonts w:ascii="Calibri" w:hAnsi="Calibri"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BodyText"/>
        <w:spacing w:before="283" w:after="0"/>
        <w:rPr>
          <w:rFonts w:ascii="Calibri" w:hAnsi="Calibri"/>
        </w:rPr>
      </w:pPr>
      <w:r>
        <w:rPr>
          <w:rFonts w:ascii="Calibri" w:hAnsi="Calibri"/>
        </w:rPr>
        <w:t xml:space="preserve">ai sensi degli  articoli 46 e 47 del D.P.R. 28 dicembre 2000, n. 445 e ss.mm.ii., sotto la propria responsabilità e consapevole delle sanzioni penali in caso di dichiarazioni mendaci, previste nell’art. 76 del citato D.P.R. </w:t>
      </w:r>
    </w:p>
    <w:p>
      <w:pPr>
        <w:pStyle w:val="normal1"/>
        <w:widowControl w:val="false"/>
        <w:spacing w:lineRule="auto" w:line="240" w:before="240" w:after="240"/>
        <w:ind w:hanging="0"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DICHIARA</w:t>
      </w:r>
    </w:p>
    <w:p>
      <w:pPr>
        <w:pStyle w:val="BodyText"/>
        <w:rPr>
          <w:szCs w:val="22"/>
        </w:rPr>
      </w:pPr>
      <w:r>
        <w:rPr>
          <w:rFonts w:eastAsia="Calibri" w:cs="Calibri" w:ascii="Calibri" w:hAnsi="Calibri"/>
          <w:szCs w:val="22"/>
        </w:rPr>
        <w:t>che il Partner rappresentato:</w:t>
      </w:r>
    </w:p>
    <w:p>
      <w:pPr>
        <w:pStyle w:val="BodyText"/>
        <w:numPr>
          <w:ilvl w:val="0"/>
          <w:numId w:val="2"/>
        </w:numPr>
        <w:spacing w:before="0" w:after="57"/>
        <w:rPr>
          <w:szCs w:val="22"/>
        </w:rPr>
      </w:pPr>
      <w:r>
        <w:rPr>
          <w:rFonts w:ascii="Calibri" w:hAnsi="Calibri"/>
          <w:szCs w:val="22"/>
        </w:rPr>
        <w:t>ha sede legale o operativa nella regione Puglia;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è in possesso della capacità amministrativa, finanziaria e</w:t>
      </w:r>
      <w:r>
        <w:rPr>
          <w:rFonts w:eastAsia="Calibri" w:cs="Calibri" w:ascii="Calibri" w:hAnsi="Calibri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>operativa per soddisfare le condizioni della concessione del contributo regionale a valere sull’Avviso in oggetto;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è in possesso dell’agibilità dei locali o dei luoghi destinati a pubblico spettacolo e/o intrattenimento per le attività per le quali è richiesto il contributo;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color w:val="000000"/>
          <w:szCs w:val="22"/>
        </w:rPr>
        <w:t>garantisce il rispetto delle norme a tutela del principio orizzontale di parità di genere e non discriminazione e dell'accessibilità, della dignità dei lavoratori, degli obblighi assunzionali previsti dai CC.NN.LL. firmati dalle OO.SS. maggiormente rappresentative a livello nazionale dei settori di riferimento, dei trattamenti retributivi e di ogni altro vincolo contrattuale, nonché del contrasto ad ogni forma di precariato;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non ha commesso violazioni gravi, definitivamente accertate, rispetto agli obblighi relativi al pagamento delle imposte e tasse, alle norme in materia di contributi previdenziali e assistenziali e in materia di salute e sicurezza sui luoghi di lavoro (T.U. Sicurezza- D.Lgs n.81/2008) e rispetto ad</w:t>
      </w:r>
      <w:r>
        <w:rPr>
          <w:rFonts w:eastAsia="Calibri" w:cs="Calibri" w:ascii="Calibri" w:hAnsi="Calibri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>ogni altro obbligo derivante dai rapporti di lavoro, secondo la legislazione italiana o quella dello Stato in cui sono stabiliti;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non si trova nelle condizioni che non consentono la concessione dei finanziamenti ai sensi della normativa antimafia (D.Lgs. n. 159/2011);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è in regola con le norme che disciplinano il diritto al lavoro dei disabili (Legge 12 marzo 1999 n.68);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bookmarkStart w:id="0" w:name="_heading=h.w2q63p72hw19"/>
      <w:bookmarkEnd w:id="0"/>
      <w:r>
        <w:rPr>
          <w:rFonts w:eastAsia="Calibri" w:cs="Calibri" w:ascii="Calibri" w:hAnsi="Calibri"/>
          <w:color w:val="000000"/>
          <w:szCs w:val="22"/>
        </w:rPr>
        <w:t>rispetta la normativa in materia di sicurezza e tutela della salute nei luoghi di lavoro - T.U. sulla Sicurezza D.Lgs n. 81/2008;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applica ai propri dipendenti il CCNL del seguente comparto: _______________;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è in regola con la certificazione di agibilità rilasciata dall'INPS gestione ex ENPALS, con specifica matricola per l'attività per la quale è chiesto il contributo; è ammessa al contributo unicamente l’attività svolta in costanza del possesso del certificato di agibilità INPS gestione ex ENPALS intestato al soggetto richiedente; inoltre, in caso di ospitalità, è richiesta analoga dichiarazione attestante utilizzazione di soggetti in possesso di certificato di agibilità INPS gestione ex ENPALS intestato ai medesimi;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non è stato destinatario, nei cinque anni precedenti la data di presentazione dell’Istanza Triennale, di provvedimenti di revoca di finanziamenti o agevolazioni pubbliche, ad eccezione di quelle derivanti da rinunce da parte del soggetto beneficiario;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al fine dell'applicazione dell'art. 53 comma 16 ter del D.Lgs 165/2001, introdotto dalla Legge n. 190/2012 (attività successiva alla cessazione del rapporto di lavoro - pantouflage o revolving doors), questa Ditta/Società/o altro______________ (</w:t>
      </w:r>
      <w:r>
        <w:rPr>
          <w:rFonts w:eastAsia="Calibri" w:cs="Calibri" w:ascii="Calibri" w:hAnsi="Calibri"/>
          <w:i/>
          <w:color w:val="000000"/>
          <w:szCs w:val="22"/>
        </w:rPr>
        <w:t>specificare</w:t>
      </w:r>
      <w:r>
        <w:rPr>
          <w:rFonts w:eastAsia="Calibri" w:cs="Calibri" w:ascii="Calibri" w:hAnsi="Calibri"/>
          <w:color w:val="000000"/>
          <w:szCs w:val="22"/>
        </w:rPr>
        <w:t>) non ha concluso contratti di lavoro subordinato o autonomo e, comunque, non ha attribuito incarichi a</w:t>
      </w:r>
      <w:r>
        <w:rPr>
          <w:rFonts w:eastAsia="Calibri" w:cs="Calibri" w:ascii="Calibri" w:hAnsi="Calibri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>ex dipendenti dell'Amministrazione regionale che hanno esercitato poteri autoritativi o negoziali per conto della Regione Puglia nei propri confronti, nel triennio successivo alla cessazione del rapporto di lavoro con la Regione Puglia;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non è un soggetto riconosciuto dal Ministero della Cultura quale soggetto FNSV invitato alla Procedura negoziale triennale approvata con D.D. n. 347 del 20/10/2025 della Regione Puglia;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non ha partecipato, con il ruolo di Singolo soggetto proponente, Capofila o Partner, a</w:t>
      </w:r>
      <w:r>
        <w:rPr>
          <w:rFonts w:eastAsia="Calibri" w:cs="Calibri" w:ascii="Calibri" w:hAnsi="Calibri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>un’altra proposta progettuale candidata all’Avviso in oggetto, indipendentemente dall’esito dell’istruttoria;</w:t>
      </w:r>
    </w:p>
    <w:p>
      <w:pPr>
        <w:pStyle w:val="BodyText"/>
        <w:numPr>
          <w:ilvl w:val="0"/>
          <w:numId w:val="2"/>
        </w:numPr>
        <w:spacing w:before="0" w:after="170"/>
        <w:jc w:val="both"/>
        <w:rPr>
          <w:szCs w:val="22"/>
        </w:rPr>
      </w:pPr>
      <w:r>
        <w:rPr>
          <w:rFonts w:ascii="Calibri" w:hAnsi="Calibri"/>
          <w:szCs w:val="22"/>
        </w:rPr>
        <w:t>non è beneficiario di progetti finanziati a valere sull’Avviso pubblico indetto dalla Sezione Economia della Cultura per il triennio 2025, 2026, 2027, finalizzato a sostenere progetti di festival, rassegne e premi nel settore cinematografico e audiovisivo di rilievo regionale, nazionale e internazionale;</w:t>
      </w:r>
    </w:p>
    <w:p>
      <w:pPr>
        <w:pStyle w:val="BodyText"/>
        <w:spacing w:before="0" w:after="170"/>
        <w:ind w:left="720"/>
        <w:jc w:val="center"/>
        <w:rPr>
          <w:szCs w:val="22"/>
        </w:rPr>
      </w:pPr>
      <w:r>
        <w:rPr>
          <w:rFonts w:ascii="Calibri" w:hAnsi="Calibri"/>
          <w:b/>
          <w:bCs/>
          <w:szCs w:val="22"/>
        </w:rPr>
        <w:t>Dichiara, inoltre: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essere consapevole che il soggetto Capofila è unico beneficiario del contributo e referente nei confronti dell’Amministrazione regionale; è responsabile della realizzazione dell’intero progetto fino alla sua completa conclusione; è responsabile della rendicontazione delle spese sostenute per la realizzazione del progetto;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che le attività sono realizzate nel territorio della Regione Puglia, fermo restando l’ammissibilità di attività volte allo sviluppo della promozione e circuitazione nazionale e</w:t>
      </w:r>
      <w:r>
        <w:rPr>
          <w:rFonts w:eastAsia="Calibri" w:cs="Calibri" w:ascii="Calibri" w:hAnsi="Calibri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>internazionale;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bookmarkStart w:id="1" w:name="_heading=h.18ollt5ywgf2"/>
      <w:bookmarkEnd w:id="1"/>
      <w:r>
        <w:rPr>
          <w:rFonts w:ascii="Calibri" w:hAnsi="Calibri"/>
          <w:szCs w:val="22"/>
        </w:rPr>
        <w:t>che le voci di costo e di entrata inserite nel Piano finanziario includono tutti i dati relativi ad altri finanziamenti, anche quelli provenienti dal Dipartimento titolare dell’Avviso in oggetto, dall’Agenzia Regionale Pugliapromozione, dal Consorzio Puglia Culture e dalla Fondazione Apulia Film Commission concessi per lo stesso progetto, se riconosciuti;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essere consapevole che le spese sostenute dai Partner in data antecedente alla costituzione dell’ATS/ATI, saranno considerate ammissibili solo in presenza di una convenzione/contratto firmato digitalmente dagli stessi con il Capofila prima dell’assunzione del costo;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di impegnarsi a riportare il codice CUP assegnato in tutte le comunicazioni e operazioni relative all’iniziativa progettuale ovvero, per tutte le spese relative all’anno 2025 sostenute in data anteriore all’assegnazione del CUP, a produrre apposita dichiarazione sostitutiva di esclusiva riferibilità;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essere consapevole che, in relazione al programma annuale 2025, non sono ammesse variazioni e rimodulazioni dei dati progettuali e finanziari inseriti nell’istanza e nei relativi allegati (nello specifico, le date delle attività e le entrate inserite nel piano finanziario annuale 2025 hanno carattere definitivo). Qualsiasi variazione in diminuzione successiva alla data di presentazione dell’istanza dovrà essere preventivamente autorizzata dal Responsabile del procedimento);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rispettare il divieto di cumulo dei contributi e di doppio finanziamento, ai sensi dell’art. 14 lett. p) dell’Avviso in oggetto;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impegnarsi al raggiungimento dei requisiti minimi di attività e al rispetto delle altre condizioni previste per l’ammissione al contributo regionale;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di impegnarsi a</w:t>
      </w:r>
      <w:r>
        <w:rPr>
          <w:rFonts w:eastAsia="Calibri" w:cs="Calibri" w:ascii="Calibri" w:hAnsi="Calibri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 xml:space="preserve">inserire negli eventuali contratti sottoscritti con i subappaltatori e i subcontraenti un’apposita clausola con la quale ciascuno di essi assume gli obblighi di tracciabilità dei flussi finanziari di cui alla Legge n. 136/2010; 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essere a conoscenza degli obblighi a proprio carico disposti dalla Legge n. 136/2010 e di prendere atto che l’inosservanza degli obblighi di tracciabilità dei flussi finanziari, comporta la revoca dei benefici finanziari riconosciuti;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bookmarkStart w:id="2" w:name="_heading=h.g2owlrl3avlp"/>
      <w:bookmarkEnd w:id="2"/>
      <w:r>
        <w:rPr>
          <w:rFonts w:ascii="Calibri" w:hAnsi="Calibri"/>
          <w:szCs w:val="22"/>
        </w:rPr>
        <w:t>di essere a conoscenza che i requisiti di ammissibilità, previsti dall’Avviso, devono perdurare sino alla data di erogazione finale del contributo finanziario;</w:t>
      </w:r>
    </w:p>
    <w:p>
      <w:pPr>
        <w:pStyle w:val="BodyText"/>
        <w:numPr>
          <w:ilvl w:val="0"/>
          <w:numId w:val="2"/>
        </w:numPr>
        <w:spacing w:before="0" w:after="57"/>
        <w:jc w:val="both"/>
        <w:rPr>
          <w:szCs w:val="22"/>
        </w:rPr>
      </w:pPr>
      <w:r>
        <w:rPr>
          <w:rFonts w:ascii="Calibri" w:hAnsi="Calibri"/>
          <w:szCs w:val="22"/>
        </w:rPr>
        <w:t>di essere informato, ai sensi e per gli effetti di cui all’art. 13 del D.Lgs. 30 giugno 2003, n. 196, che i dati personali raccolti saranno trattati, anche con strumenti informatici, esclusivamente nell’ambito del procedimento per il quale la presente dichiarazione viene resa;</w:t>
      </w:r>
    </w:p>
    <w:p>
      <w:pPr>
        <w:pStyle w:val="BodyText"/>
        <w:numPr>
          <w:ilvl w:val="0"/>
          <w:numId w:val="2"/>
        </w:numPr>
        <w:spacing w:before="0" w:after="340"/>
        <w:jc w:val="both"/>
        <w:rPr>
          <w:szCs w:val="22"/>
        </w:rPr>
      </w:pPr>
      <w:r>
        <w:rPr>
          <w:rFonts w:eastAsia="Calibri" w:cs="Calibri" w:ascii="Calibri" w:hAnsi="Calibri"/>
          <w:color w:val="000000"/>
          <w:szCs w:val="22"/>
        </w:rPr>
        <w:t>di essere consapevole che</w:t>
      </w:r>
      <w:r>
        <w:rPr>
          <w:rFonts w:eastAsia="Calibri" w:cs="Calibri" w:ascii="Calibri" w:hAnsi="Calibri"/>
          <w:b/>
          <w:i/>
          <w:color w:val="000000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Cs w:val="22"/>
        </w:rPr>
        <w:t>la Regione Puglia, per la gestione delle attività di controllo amministrativo, contabile e di monitoraggio, potrà richiedere la documentazione necessaria al fine di accertare la regolarità degli atti riguardanti l’attività finanziata.</w:t>
      </w:r>
    </w:p>
    <w:tbl>
      <w:tblPr>
        <w:tblW w:w="7965" w:type="dxa"/>
        <w:jc w:val="left"/>
        <w:tblInd w:w="5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37"/>
        <w:gridCol w:w="4027"/>
      </w:tblGrid>
      <w:tr>
        <w:trPr>
          <w:trHeight w:val="1218" w:hRule="atLeast"/>
        </w:trPr>
        <w:tc>
          <w:tcPr>
            <w:tcW w:w="3937" w:type="dxa"/>
            <w:tcBorders/>
          </w:tcPr>
          <w:p>
            <w:pPr>
              <w:pStyle w:val="normal1"/>
              <w:widowControl w:val="false"/>
              <w:spacing w:lineRule="auto" w:line="240"/>
              <w:ind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Luogo e data</w:t>
            </w:r>
          </w:p>
        </w:tc>
        <w:tc>
          <w:tcPr>
            <w:tcW w:w="4027" w:type="dxa"/>
            <w:tcBorders/>
          </w:tcPr>
          <w:p>
            <w:pPr>
              <w:pStyle w:val="normal1"/>
              <w:widowControl w:val="false"/>
              <w:spacing w:lineRule="auto" w:line="240"/>
              <w:ind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Firma Digitale</w:t>
            </w:r>
          </w:p>
          <w:p>
            <w:pPr>
              <w:pStyle w:val="normal1"/>
              <w:widowControl w:val="false"/>
              <w:spacing w:lineRule="auto" w:line="240"/>
              <w:ind w:hanging="0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(in formato PADES e visualizzata)</w:t>
            </w:r>
          </w:p>
        </w:tc>
      </w:tr>
    </w:tbl>
    <w:p>
      <w:pPr>
        <w:pStyle w:val="normal1"/>
        <w:widowControl w:val="false"/>
        <w:spacing w:lineRule="auto" w:line="240"/>
        <w:ind w:hanging="244" w:left="1236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417" w:top="1667" w:footer="850" w:bottom="1712"/>
      <w:pgNumType w:start="0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ourier New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r>
      <w:rPr/>
    </w:r>
    <w:bookmarkStart w:id="3" w:name="Copia_Copia_PageNumWizard_FOOTER_Stile_d"/>
    <w:bookmarkStart w:id="4" w:name="Copia_Copia_PageNumWizard_FOOTER_Stile_d"/>
    <w:bookmarkEnd w:id="4"/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sz w:val="22"/>
        <w:szCs w:val="22"/>
        <w:rFonts w:ascii="Calibri" w:hAnsi="Calibri"/>
        <w:color w:val="000000"/>
      </w:rPr>
      <w:instrText xml:space="preserve"> PAGE </w:instrText>
    </w:r>
    <w:r>
      <w:rPr>
        <w:sz w:val="22"/>
        <w:szCs w:val="22"/>
        <w:rFonts w:ascii="Calibri" w:hAnsi="Calibri"/>
        <w:color w:val="000000"/>
      </w:rPr>
      <w:fldChar w:fldCharType="separate"/>
    </w:r>
    <w:r>
      <w:rPr>
        <w:sz w:val="22"/>
        <w:szCs w:val="22"/>
        <w:rFonts w:ascii="Calibri" w:hAnsi="Calibri"/>
        <w:color w:val="000000"/>
      </w:rPr>
      <w:t>3</w:t>
    </w:r>
    <w:r>
      <w:rPr>
        <w:sz w:val="22"/>
        <w:szCs w:val="22"/>
        <w:rFonts w:ascii="Calibri" w:hAnsi="Calibri"/>
        <w:color w:val="00000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r>
      <w:rPr/>
    </w:r>
    <w:bookmarkStart w:id="5" w:name="Copia_Copia_PageNumWizard_FOOTER_Stile_1"/>
    <w:bookmarkStart w:id="6" w:name="Copia_Copia_PageNumWizard_FOOTER_Stile_1"/>
    <w:bookmarkEnd w:id="6"/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08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-108585</wp:posOffset>
          </wp:positionH>
          <wp:positionV relativeFrom="paragraph">
            <wp:posOffset>81280</wp:posOffset>
          </wp:positionV>
          <wp:extent cx="4417060" cy="828040"/>
          <wp:effectExtent l="0" t="0" r="0" b="0"/>
          <wp:wrapSquare wrapText="largest"/>
          <wp:docPr id="2" name="loghi accordo di coesione" descr="loghi accordo di coesione&#10;loghi accordo di coe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accordo di coesione" descr="loghi accordo di coesione&#10;loghi accordo di coesion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7" w:name="Copia_Copia_Copia_PageNumWizard_FOOTER_S"/>
    <w:bookmarkStart w:id="8" w:name="Copia_Copia_Copia_PageNumWizard_FOOTER_S"/>
    <w:bookmarkEnd w:id="8"/>
  </w:p>
  <w:p>
    <w:pPr>
      <w:pStyle w:val="Normal"/>
      <w:tabs>
        <w:tab w:val="clear" w:pos="708"/>
        <w:tab w:val="center" w:pos="4819" w:leader="none"/>
        <w:tab w:val="right" w:pos="9638" w:leader="none"/>
      </w:tabs>
      <w:ind w:right="360"/>
      <w:jc w:val="right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4465955</wp:posOffset>
          </wp:positionH>
          <wp:positionV relativeFrom="paragraph">
            <wp:posOffset>13335</wp:posOffset>
          </wp:positionV>
          <wp:extent cx="943610" cy="528955"/>
          <wp:effectExtent l="0" t="0" r="0" b="0"/>
          <wp:wrapSquare wrapText="largest"/>
          <wp:docPr id="3" name="Copia Immagine2 1" descr="logo piiil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magine2 1" descr="logo piiil regione pugl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304" w:after="0"/>
      <w:ind w:hanging="352" w:left="142" w:right="68"/>
      <w:jc w:val="center"/>
      <w:rPr>
        <w:rFonts w:ascii="Calibri" w:hAnsi="Calibri" w:eastAsia="Calibri" w:cs="Calibri"/>
        <w:b/>
        <w:bCs/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2392680</wp:posOffset>
          </wp:positionH>
          <wp:positionV relativeFrom="paragraph">
            <wp:posOffset>-431800</wp:posOffset>
          </wp:positionV>
          <wp:extent cx="1335405" cy="1043940"/>
          <wp:effectExtent l="0" t="0" r="0" b="0"/>
          <wp:wrapSquare wrapText="largest"/>
          <wp:docPr id="1" name="logo regione puglia" descr="logo regione puglia&#10;logo 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gione puglia" descr="logo regione puglia&#10;logo regione pugl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  <w:bCs/>
        <w:color w:val="000000"/>
      </w:rPr>
      <w:t>Dipartimento Turismo, Economia della Cultura e Valorizzazione del Territorio</w:t>
    </w:r>
  </w:p>
  <w:p>
    <w:pPr>
      <w:pStyle w:val="Normal"/>
      <w:ind w:hanging="354" w:left="142" w:right="67"/>
      <w:jc w:val="center"/>
      <w:rPr>
        <w:rFonts w:ascii="Calibri" w:hAnsi="Calibri" w:eastAsia="Calibri" w:cs="Calibri"/>
        <w:color w:val="000000"/>
      </w:rPr>
    </w:pPr>
    <w:r>
      <w:rPr>
        <w:rFonts w:eastAsia="Calibri" w:cs="Calibri" w:ascii="Calibri" w:hAnsi="Calibri"/>
        <w:color w:val="000000"/>
      </w:rPr>
      <w:t>Sezione Economia della Cultura</w:t>
    </w:r>
  </w:p>
  <w:p>
    <w:pPr>
      <w:pStyle w:val="Normal"/>
      <w:ind w:hanging="354" w:left="142" w:right="67"/>
      <w:jc w:val="center"/>
      <w:rPr/>
    </w:pPr>
    <w:hyperlink r:id="rId2">
      <w:r>
        <w:rPr>
          <w:rStyle w:val="Hyperlink"/>
          <w:rFonts w:eastAsia="Calibri" w:cs="Calibri" w:ascii="Calibri" w:hAnsi="Calibri"/>
        </w:rPr>
        <w:t>www.regione.puglia.it</w:t>
      </w:r>
    </w:hyperlink>
    <w:r>
      <w:rPr>
        <w:rStyle w:val="Hyperlink"/>
        <w:rFonts w:eastAsia="Calibri" w:cs="Calibri" w:ascii="Calibri" w:hAnsi="Calibri"/>
        <w:color w:val="000000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u w:val="none"/>
        <w:szCs w:val="22"/>
        <w:rFonts w:ascii="Calibri" w:hAnsi="Calibri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sz w:val="22"/>
        <w:kern w:val="0"/>
        <w:szCs w:val="24"/>
        <w:rFonts w:ascii="Calibri" w:hAnsi="Calibri" w:eastAsia="Times New Roman" w:cs="Arial"/>
        <w:color w:val="auto"/>
        <w:lang w:val="it-IT" w:eastAsia="it-IT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hyphenationZone w:val="0"/>
  <w:evenAndOddHeaders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outlineLvl w:val="0"/>
    </w:pPr>
    <w:rPr>
      <w:rFonts w:ascii="Arial" w:hAnsi="Arial" w:eastAsia="Arial" w:cs="Arial"/>
      <w:b/>
      <w:color w:val="FF0000"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outlineLvl w:val="1"/>
    </w:pPr>
    <w:rPr>
      <w:rFonts w:ascii="Arial" w:hAnsi="Arial" w:eastAsia="Arial" w:cs="Arial"/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ind w:firstLine="720"/>
      <w:jc w:val="both"/>
      <w:outlineLvl w:val="2"/>
    </w:pPr>
    <w:rPr>
      <w:rFonts w:ascii="Arial" w:hAnsi="Arial" w:eastAsia="Arial" w:cs="Arial"/>
      <w:i/>
      <w:color w:val="FF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ind w:firstLine="720"/>
      <w:jc w:val="both"/>
      <w:outlineLvl w:val="3"/>
    </w:pPr>
    <w:rPr>
      <w:rFonts w:ascii="Arial" w:hAnsi="Arial" w:eastAsia="Arial" w:cs="Arial"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jc w:val="both"/>
      <w:outlineLvl w:val="4"/>
    </w:pPr>
    <w:rPr>
      <w:rFonts w:ascii="Arial" w:hAnsi="Arial" w:eastAsia="Arial" w:cs="Arial"/>
      <w:i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jc w:val="center"/>
      <w:outlineLvl w:val="5"/>
    </w:pPr>
    <w:rPr>
      <w:b/>
    </w:rPr>
  </w:style>
  <w:style w:type="paragraph" w:styleId="Heading7">
    <w:name w:val="heading 7"/>
    <w:qFormat/>
    <w:pPr>
      <w:keepNext w:val="true"/>
      <w:widowControl/>
      <w:suppressAutoHyphens w:val="true"/>
      <w:overflowPunct w:val="false"/>
      <w:bidi w:val="0"/>
      <w:spacing w:before="0" w:after="0"/>
      <w:ind w:left="6120"/>
      <w:jc w:val="both"/>
      <w:outlineLvl w:val="6"/>
    </w:pPr>
    <w:rPr>
      <w:rFonts w:ascii="Times New Roman" w:hAnsi="Times New Roman" w:eastAsia="Times New Roman" w:cs="Times New Roman"/>
      <w:color w:val="auto"/>
      <w:kern w:val="0"/>
      <w:sz w:val="24"/>
      <w:szCs w:val="24"/>
      <w:u w:val="single"/>
      <w:lang w:val="it-IT" w:eastAsia="it-IT" w:bidi="ar-SA"/>
    </w:rPr>
  </w:style>
  <w:style w:type="paragraph" w:styleId="Heading8">
    <w:name w:val="heading 8"/>
    <w:qFormat/>
    <w:pPr>
      <w:keepNext w:val="true"/>
      <w:widowControl/>
      <w:suppressAutoHyphens w:val="true"/>
      <w:overflowPunct w:val="false"/>
      <w:bidi w:val="0"/>
      <w:spacing w:before="0" w:after="0"/>
      <w:jc w:val="left"/>
      <w:outlineLvl w:val="7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it-IT" w:eastAsia="it-IT" w:bidi="ar-SA"/>
    </w:rPr>
  </w:style>
  <w:style w:type="paragraph" w:styleId="Heading9">
    <w:name w:val="heading 9"/>
    <w:qFormat/>
    <w:pPr>
      <w:keepNext w:val="true"/>
      <w:widowControl/>
      <w:tabs>
        <w:tab w:val="clear" w:pos="708"/>
        <w:tab w:val="left" w:pos="3240" w:leader="none"/>
        <w:tab w:val="left" w:pos="4140" w:leader="none"/>
        <w:tab w:val="left" w:pos="4680" w:leader="none"/>
        <w:tab w:val="left" w:pos="6840" w:leader="none"/>
        <w:tab w:val="left" w:pos="7920" w:leader="none"/>
      </w:tabs>
      <w:suppressAutoHyphens w:val="true"/>
      <w:overflowPunct w:val="false"/>
      <w:bidi w:val="0"/>
      <w:spacing w:lineRule="auto" w:line="360" w:before="0" w:after="0"/>
      <w:jc w:val="left"/>
      <w:outlineLvl w:val="8"/>
    </w:pPr>
    <w:rPr>
      <w:rFonts w:ascii="Times New Roman" w:hAnsi="Times New Roman" w:eastAsia="Times New Roman" w:cs="Times New Roman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TestofumettoCarattere" w:customStyle="1">
    <w:name w:val="Testo fumetto Carattere"/>
    <w:link w:val="BalloonText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Pr/>
  </w:style>
  <w:style w:type="character" w:styleId="SoggettocommentoCarattere" w:customStyle="1">
    <w:name w:val="Soggetto commento Carattere"/>
    <w:link w:val="annotationsubject"/>
    <w:qFormat/>
    <w:rPr>
      <w:b/>
      <w:bCs/>
    </w:rPr>
  </w:style>
  <w:style w:type="character" w:styleId="PreformattatoHTMLCarattere" w:customStyle="1">
    <w:name w:val="Preformattato HTML Carattere"/>
    <w:basedOn w:val="DefaultParagraphFont"/>
    <w:link w:val="HTMLPreformatted"/>
    <w:qFormat/>
    <w:rPr>
      <w:rFonts w:ascii="Courier New" w:hAnsi="Courier New" w:cs="Courier New"/>
      <w:sz w:val="20"/>
      <w:szCs w:val="20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Caratterinotaapidipaginauser" w:customStyle="1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idipaginaCarattere" w:customStyle="1">
    <w:name w:val="Piè di pagina Carattere"/>
    <w:basedOn w:val="DefaultParagraphFont"/>
    <w:qFormat/>
    <w:rPr/>
  </w:style>
  <w:style w:type="character" w:styleId="ParagrafoelencoCarattere" w:customStyle="1">
    <w:name w:val="Paragrafo elenco Carattere"/>
    <w:link w:val="ListParagraph"/>
    <w:qFormat/>
    <w:rPr/>
  </w:style>
  <w:style w:type="character" w:styleId="Stile1Carattere" w:customStyle="1">
    <w:name w:val="Stile1 Carattere"/>
    <w:basedOn w:val="DefaultParagraphFont"/>
    <w:link w:val="Stile1"/>
    <w:qFormat/>
    <w:rPr>
      <w:rFonts w:ascii="Calibri" w:hAnsi="Calibri" w:eastAsia="Calibri" w:cs="Calibri"/>
      <w:b/>
      <w:sz w:val="22"/>
      <w:szCs w:val="22"/>
    </w:rPr>
  </w:style>
  <w:style w:type="character" w:styleId="Stile2Carattere" w:customStyle="1">
    <w:name w:val="Stile2 Carattere"/>
    <w:basedOn w:val="DefaultParagraphFont"/>
    <w:link w:val="Stile2"/>
    <w:qFormat/>
    <w:rPr>
      <w:rFonts w:ascii="Calibri" w:hAnsi="Calibri" w:eastAsia="Calibri" w:cs="Calibri"/>
      <w:b/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qFormat/>
    <w:rPr>
      <w:sz w:val="20"/>
      <w:szCs w:val="20"/>
    </w:rPr>
  </w:style>
  <w:style w:type="character" w:styleId="IntestazioneCarattere" w:customStyle="1">
    <w:name w:val="Intestazione Carattere"/>
    <w:basedOn w:val="DefaultParagraphFont"/>
    <w:qFormat/>
    <w:rPr/>
  </w:style>
  <w:style w:type="character" w:styleId="Caratteridinumerazioneuser" w:customStyle="1">
    <w:name w:val="Caratteri di numerazione (user)"/>
    <w:qFormat/>
    <w:rPr>
      <w:rFonts w:ascii="Calibri" w:hAnsi="Calibri" w:eastAsia="Times New Roman" w:cs="Arial"/>
      <w:color w:val="auto"/>
      <w:kern w:val="0"/>
      <w:sz w:val="22"/>
      <w:szCs w:val="24"/>
      <w:lang w:val="it-IT" w:eastAsia="it-IT" w:bidi="ar-SA"/>
    </w:rPr>
  </w:style>
  <w:style w:type="character" w:styleId="Collegamentoindiceuser" w:customStyle="1">
    <w:name w:val="Collegamento indice (user)"/>
    <w:qFormat/>
    <w:rPr/>
  </w:style>
  <w:style w:type="character" w:styleId="Puntiuser" w:customStyle="1">
    <w:name w:val="Punti (user)"/>
    <w:qFormat/>
    <w:rPr>
      <w:rFonts w:ascii="OpenSymbol" w:hAnsi="OpenSymbol" w:eastAsia="OpenSymbol" w:cs="OpenSymbol"/>
      <w:sz w:val="14"/>
      <w:szCs w:val="14"/>
    </w:rPr>
  </w:style>
  <w:style w:type="character" w:styleId="Punti" w:customStyle="1">
    <w:name w:val="Punti"/>
    <w:qFormat/>
    <w:rPr>
      <w:rFonts w:ascii="Calibri" w:hAnsi="Calibri" w:eastAsia="OpenSymbol" w:cs="OpenSymbol"/>
      <w:sz w:val="14"/>
      <w:szCs w:val="14"/>
    </w:rPr>
  </w:style>
  <w:style w:type="character" w:styleId="Caratteridinumerazione" w:customStyle="1">
    <w:name w:val="Caratteri di numerazione"/>
    <w:qFormat/>
    <w:rPr>
      <w:rFonts w:ascii="Calibri" w:hAnsi="Calibri"/>
      <w:color w:val="auto"/>
      <w:sz w:val="22"/>
      <w:szCs w:val="22"/>
    </w:rPr>
  </w:style>
  <w:style w:type="character" w:styleId="LineNumber">
    <w:name w:val="line number"/>
    <w:rPr/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llegamentoindice" w:customStyle="1">
    <w:name w:val="Collegamento indic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4"/>
      <w:lang w:val="it-IT" w:eastAsia="it-IT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e1" w:customStyle="1">
    <w:name w:val="Normale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Normale11" w:customStyle="1">
    <w:name w:val="Normale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Header">
    <w:name w:val="header"/>
    <w:link w:val="IntestazioneCarattere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Footer">
    <w:name w:val="footer"/>
    <w:link w:val="PidipaginaCarattere"/>
    <w:pPr>
      <w:widowControl/>
      <w:tabs>
        <w:tab w:val="clear" w:pos="708"/>
        <w:tab w:val="center" w:pos="4819" w:leader="none"/>
        <w:tab w:val="right" w:pos="9638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BodyTextIndent">
    <w:name w:val="Body Text Indent"/>
    <w:pPr>
      <w:widowControl/>
      <w:suppressAutoHyphens w:val="true"/>
      <w:overflowPunct w:val="false"/>
      <w:bidi w:val="0"/>
      <w:spacing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2"/>
      <w:szCs w:val="24"/>
      <w:lang w:val="it-IT" w:eastAsia="it-IT" w:bidi="ar-SA"/>
    </w:rPr>
  </w:style>
  <w:style w:type="paragraph" w:styleId="BodyText2">
    <w:name w:val="Body Text 2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2"/>
      <w:szCs w:val="24"/>
      <w:lang w:val="it-IT" w:eastAsia="it-IT" w:bidi="ar-SA"/>
    </w:rPr>
  </w:style>
  <w:style w:type="paragraph" w:styleId="BodyText3">
    <w:name w:val="Body Text 3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BlockText">
    <w:name w:val="Block Text"/>
    <w:qFormat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 w:val="true"/>
      <w:overflowPunct w:val="false"/>
      <w:bidi w:val="0"/>
      <w:spacing w:before="0" w:after="0"/>
      <w:ind w:left="284" w:right="284"/>
      <w:jc w:val="both"/>
    </w:pPr>
    <w:rPr>
      <w:rFonts w:ascii="Times New Roman" w:hAnsi="Times New Roman" w:eastAsia="Times New Roman" w:cs="Times New Roman"/>
      <w:i/>
      <w:iCs/>
      <w:color w:val="auto"/>
      <w:kern w:val="0"/>
      <w:sz w:val="22"/>
      <w:szCs w:val="24"/>
      <w:lang w:val="it-IT" w:eastAsia="it-IT" w:bidi="ar-SA"/>
    </w:rPr>
  </w:style>
  <w:style w:type="paragraph" w:styleId="ListParagraph">
    <w:name w:val="List Paragraph"/>
    <w:link w:val="ParagrafoelencoCarattere"/>
    <w:qFormat/>
    <w:pPr>
      <w:widowControl/>
      <w:suppressAutoHyphens w:val="true"/>
      <w:overflowPunct w:val="false"/>
      <w:bidi w:val="0"/>
      <w:spacing w:before="0" w:after="0"/>
      <w:ind w:left="708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TMLBottomofForm">
    <w:name w:val="HTML Bottom of Form"/>
    <w:qFormat/>
    <w:pPr>
      <w:widowControl/>
      <w:pBdr>
        <w:top w:val="single" w:sz="6" w:space="1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Times New Roman" w:cs="Arial"/>
      <w:vanish/>
      <w:color w:val="auto"/>
      <w:kern w:val="0"/>
      <w:sz w:val="16"/>
      <w:szCs w:val="16"/>
      <w:lang w:val="it-IT" w:eastAsia="it-IT" w:bidi="ar-SA"/>
    </w:rPr>
  </w:style>
  <w:style w:type="paragraph" w:styleId="HTMLTopofForm">
    <w:name w:val="HTML Top of Form"/>
    <w:qFormat/>
    <w:pPr>
      <w:widowControl/>
      <w:pBdr>
        <w:bottom w:val="single" w:sz="6" w:space="1" w:color="000000"/>
      </w:pBdr>
      <w:suppressAutoHyphens w:val="true"/>
      <w:overflowPunct w:val="false"/>
      <w:bidi w:val="0"/>
      <w:spacing w:before="0" w:after="0"/>
      <w:jc w:val="center"/>
    </w:pPr>
    <w:rPr>
      <w:rFonts w:ascii="Arial" w:hAnsi="Arial" w:eastAsia="Times New Roman" w:cs="Arial"/>
      <w:vanish/>
      <w:color w:val="auto"/>
      <w:kern w:val="0"/>
      <w:sz w:val="16"/>
      <w:szCs w:val="16"/>
      <w:lang w:val="it-IT" w:eastAsia="it-IT" w:bidi="ar-SA"/>
    </w:rPr>
  </w:style>
  <w:style w:type="paragraph" w:styleId="BalloonText">
    <w:name w:val="Balloon Text"/>
    <w:link w:val="TestofumettoCarattere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egoe UI" w:hAnsi="Segoe UI" w:eastAsia="Times New Roman" w:cs="Times New Roman"/>
      <w:color w:val="auto"/>
      <w:kern w:val="0"/>
      <w:sz w:val="18"/>
      <w:szCs w:val="18"/>
      <w:lang w:val="it-IT" w:eastAsia="it-IT" w:bidi="ar-SA"/>
    </w:rPr>
  </w:style>
  <w:style w:type="paragraph" w:styleId="CommentText">
    <w:name w:val="annotation text"/>
    <w:link w:val="TestocommentoCarattere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annotationsubject">
    <w:name w:val="annotation subject"/>
    <w:basedOn w:val="CommentText"/>
    <w:next w:val="CommentText"/>
    <w:link w:val="SoggettocommentoCarattere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NormalWeb">
    <w:name w:val="Normal (Web)"/>
    <w:qFormat/>
    <w:pPr>
      <w:widowControl/>
      <w:suppressAutoHyphens w:val="true"/>
      <w:overflowPunct w:val="false"/>
      <w:bidi w:val="0"/>
      <w:spacing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Grigliamedia1-Colore21" w:customStyle="1">
    <w:name w:val="Griglia media 1 - Colore 21"/>
    <w:qFormat/>
    <w:pPr>
      <w:widowControl/>
      <w:suppressAutoHyphens w:val="true"/>
      <w:overflowPunct w:val="false"/>
      <w:bidi w:val="0"/>
      <w:spacing w:lineRule="auto" w:line="276" w:before="0" w:after="20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it-IT" w:bidi="ar-SA"/>
    </w:rPr>
  </w:style>
  <w:style w:type="paragraph" w:styleId="HTMLPreformatted">
    <w:name w:val="HTML Preformatted"/>
    <w:link w:val="PreformattatoHTMLCarattere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it-IT" w:eastAsia="it-IT" w:bidi="ar-SA"/>
    </w:rPr>
  </w:style>
  <w:style w:type="paragraph" w:styleId="TOC1">
    <w:name w:val="toc 1"/>
    <w:autoRedefine/>
    <w:pPr>
      <w:widowControl/>
      <w:tabs>
        <w:tab w:val="clear" w:pos="708"/>
        <w:tab w:val="left" w:pos="567" w:leader="none"/>
        <w:tab w:val="right" w:pos="9628" w:leader="dot"/>
      </w:tabs>
      <w:suppressAutoHyphens w:val="true"/>
      <w:overflowPunct w:val="false"/>
      <w:bidi w:val="0"/>
      <w:spacing w:before="0" w:after="0"/>
      <w:ind w:hanging="567" w:left="567"/>
      <w:jc w:val="left"/>
    </w:pPr>
    <w:rPr>
      <w:rFonts w:ascii="Cambria" w:hAnsi="Cambria" w:eastAsia="Times New Roman" w:cs="Times New Roman"/>
      <w:b/>
      <w:bCs/>
      <w:caps/>
      <w:color w:val="auto"/>
      <w:kern w:val="0"/>
      <w:sz w:val="24"/>
      <w:szCs w:val="24"/>
      <w:lang w:val="it-IT" w:eastAsia="it-IT" w:bidi="ar-SA"/>
    </w:rPr>
  </w:style>
  <w:style w:type="paragraph" w:styleId="TOC2">
    <w:name w:val="toc 2"/>
    <w:autoRedefine/>
    <w:pPr>
      <w:widowControl/>
      <w:tabs>
        <w:tab w:val="clear" w:pos="708"/>
        <w:tab w:val="left" w:pos="993" w:leader="none"/>
        <w:tab w:val="right" w:pos="9628" w:leader="dot"/>
      </w:tabs>
      <w:suppressAutoHyphens w:val="true"/>
      <w:overflowPunct w:val="false"/>
      <w:bidi w:val="0"/>
      <w:spacing w:before="0" w:after="0"/>
      <w:ind w:left="567"/>
      <w:jc w:val="left"/>
    </w:pPr>
    <w:rPr>
      <w:rFonts w:ascii="Calibri" w:hAnsi="Calibri" w:eastAsia="Times New Roman" w:cs="Calibri"/>
      <w:b/>
      <w:bCs/>
      <w:color w:val="auto"/>
      <w:kern w:val="0"/>
      <w:sz w:val="20"/>
      <w:szCs w:val="20"/>
      <w:lang w:val="it-IT" w:eastAsia="it-IT" w:bidi="ar-SA"/>
    </w:rPr>
  </w:style>
  <w:style w:type="paragraph" w:styleId="TOC3">
    <w:name w:val="toc 3"/>
    <w:autoRedefine/>
    <w:pPr>
      <w:widowControl/>
      <w:suppressAutoHyphens w:val="true"/>
      <w:overflowPunct w:val="false"/>
      <w:bidi w:val="0"/>
      <w:spacing w:before="0" w:after="0"/>
      <w:ind w:left="24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4">
    <w:name w:val="toc 4"/>
    <w:autoRedefine/>
    <w:pPr>
      <w:widowControl/>
      <w:suppressAutoHyphens w:val="true"/>
      <w:overflowPunct w:val="false"/>
      <w:bidi w:val="0"/>
      <w:spacing w:before="0" w:after="0"/>
      <w:ind w:left="48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5">
    <w:name w:val="toc 5"/>
    <w:autoRedefine/>
    <w:pPr>
      <w:widowControl/>
      <w:suppressAutoHyphens w:val="true"/>
      <w:overflowPunct w:val="false"/>
      <w:bidi w:val="0"/>
      <w:spacing w:before="0" w:after="0"/>
      <w:ind w:left="72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6">
    <w:name w:val="toc 6"/>
    <w:autoRedefine/>
    <w:pPr>
      <w:widowControl/>
      <w:suppressAutoHyphens w:val="true"/>
      <w:overflowPunct w:val="false"/>
      <w:bidi w:val="0"/>
      <w:spacing w:before="0" w:after="0"/>
      <w:ind w:left="96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7">
    <w:name w:val="toc 7"/>
    <w:autoRedefine/>
    <w:pPr>
      <w:widowControl/>
      <w:suppressAutoHyphens w:val="true"/>
      <w:overflowPunct w:val="false"/>
      <w:bidi w:val="0"/>
      <w:spacing w:before="0" w:after="0"/>
      <w:ind w:left="120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8">
    <w:name w:val="toc 8"/>
    <w:autoRedefine/>
    <w:pPr>
      <w:widowControl/>
      <w:suppressAutoHyphens w:val="true"/>
      <w:overflowPunct w:val="false"/>
      <w:bidi w:val="0"/>
      <w:spacing w:before="0" w:after="0"/>
      <w:ind w:left="144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TOC9">
    <w:name w:val="toc 9"/>
    <w:autoRedefine/>
    <w:pPr>
      <w:widowControl/>
      <w:suppressAutoHyphens w:val="true"/>
      <w:overflowPunct w:val="false"/>
      <w:bidi w:val="0"/>
      <w:spacing w:before="0" w:after="0"/>
      <w:ind w:left="1680"/>
      <w:jc w:val="left"/>
    </w:pPr>
    <w:rPr>
      <w:rFonts w:ascii="Calibri" w:hAnsi="Calibri" w:eastAsia="Times New Roman" w:cs="Calibri"/>
      <w:color w:val="auto"/>
      <w:kern w:val="0"/>
      <w:sz w:val="20"/>
      <w:szCs w:val="20"/>
      <w:lang w:val="it-IT" w:eastAsia="it-IT" w:bidi="ar-SA"/>
    </w:rPr>
  </w:style>
  <w:style w:type="paragraph" w:styleId="Stile1" w:customStyle="1">
    <w:name w:val="Stile1"/>
    <w:link w:val="Stile1Carattere"/>
    <w:qFormat/>
    <w:pPr>
      <w:widowControl/>
      <w:suppressAutoHyphens w:val="true"/>
      <w:overflowPunct w:val="false"/>
      <w:bidi w:val="0"/>
      <w:spacing w:before="40" w:after="0"/>
      <w:ind w:hanging="360" w:left="720"/>
      <w:jc w:val="both"/>
    </w:pPr>
    <w:rPr>
      <w:rFonts w:ascii="Calibri" w:hAnsi="Calibri" w:eastAsia="Calibri" w:cs="Calibri"/>
      <w:b/>
      <w:color w:val="auto"/>
      <w:kern w:val="0"/>
      <w:sz w:val="22"/>
      <w:szCs w:val="22"/>
      <w:lang w:val="it-IT" w:eastAsia="it-IT" w:bidi="ar-SA"/>
    </w:rPr>
  </w:style>
  <w:style w:type="paragraph" w:styleId="Stile2" w:customStyle="1">
    <w:name w:val="Stile2"/>
    <w:link w:val="Stile2Carattere"/>
    <w:qFormat/>
    <w:pPr>
      <w:widowControl/>
      <w:suppressAutoHyphens w:val="true"/>
      <w:overflowPunct w:val="false"/>
      <w:bidi w:val="0"/>
      <w:spacing w:before="40" w:after="0"/>
      <w:ind w:hanging="360" w:left="1440"/>
      <w:jc w:val="both"/>
    </w:pPr>
    <w:rPr>
      <w:rFonts w:ascii="Calibri" w:hAnsi="Calibri" w:eastAsia="Calibri" w:cs="Calibri"/>
      <w:b/>
      <w:color w:val="auto"/>
      <w:kern w:val="0"/>
      <w:sz w:val="22"/>
      <w:szCs w:val="22"/>
      <w:lang w:val="it-IT" w:eastAsia="it-IT" w:bidi="ar-SA"/>
    </w:rPr>
  </w:style>
  <w:style w:type="paragraph" w:styleId="IndexHeading">
    <w:name w:val="index heading"/>
    <w:basedOn w:val="Title"/>
    <w:pPr/>
    <w:rPr/>
  </w:style>
  <w:style w:type="paragraph" w:styleId="TOCHeading">
    <w:name w:val="TOC Heading"/>
    <w:qFormat/>
    <w:pPr>
      <w:keepLines/>
      <w:widowControl/>
      <w:suppressAutoHyphens w:val="true"/>
      <w:overflowPunct w:val="false"/>
      <w:bidi w:val="0"/>
      <w:spacing w:lineRule="auto" w:line="276" w:before="480" w:after="0"/>
      <w:jc w:val="left"/>
    </w:pPr>
    <w:rPr>
      <w:rFonts w:ascii="Cambria" w:hAnsi="Cambria" w:eastAsia="Times New Roman" w:cs="Times New Roman"/>
      <w:color w:themeColor="accent1" w:themeShade="bf" w:val="365F91"/>
      <w:kern w:val="0"/>
      <w:sz w:val="28"/>
      <w:szCs w:val="28"/>
      <w:lang w:val="it-IT" w:eastAsia="en-US" w:bidi="ar-SA"/>
    </w:rPr>
  </w:style>
  <w:style w:type="paragraph" w:styleId="Index1">
    <w:name w:val="index 1"/>
    <w:autoRedefine/>
    <w:pPr>
      <w:widowControl/>
      <w:suppressAutoHyphens w:val="true"/>
      <w:overflowPunct w:val="false"/>
      <w:bidi w:val="0"/>
      <w:spacing w:before="0" w:after="0"/>
      <w:ind w:hanging="240" w:left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FootnoteText">
    <w:name w:val="footnote text"/>
    <w:link w:val="TestonotaapidipaginaCarattere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rmal111" w:customStyle="1">
    <w:name w:val="normal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it-IT" w:eastAsia="zh-CN" w:bidi="hi-IN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Contenutocorniceuser" w:customStyle="1">
    <w:name w:val="Contenuto cornice (user)"/>
    <w:basedOn w:val="Normal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umerazione123user" w:customStyle="1">
    <w:name w:val="Numerazione 123 (user)"/>
    <w:qFormat/>
  </w:style>
  <w:style w:type="numbering" w:styleId="Numerazione123" w:customStyle="1">
    <w:name w:val="Numerazione 12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tif"/><Relationship Id="rId2" Type="http://schemas.openxmlformats.org/officeDocument/2006/relationships/hyperlink" Target="http://www.regione.puglia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Application>LibreOffice/25.2.6.2$Windows_X86_64 LibreOffice_project/729c5bfe710f5eb71ed3bbde9e06a6065e9c6c5d</Application>
  <AppVersion>15.0000</AppVersion>
  <Pages>4</Pages>
  <Words>1291</Words>
  <Characters>8011</Characters>
  <CharactersWithSpaces>9210</CharactersWithSpaces>
  <Paragraphs>71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2025-10-03T09:19:00Z</dcterms:created>
  <dc:creator>Maria Giulia Laterza</dc:creator>
  <dc:description/>
  <dc:language>it-IT</dc:language>
  <cp:lastModifiedBy>Delia Stallone</cp:lastModifiedBy>
  <cp:lastPrinted>2025-10-10T09:06:00Z</cp:lastPrinted>
  <dcterms:modified xsi:type="dcterms:W3CDTF">2025-10-31T13:50:34Z</dcterms:modified>
  <cp:revision>95</cp:revision>
  <dc:subject>Allegato A3</dc:subject>
  <dc:title>Avviso Pubblico Triennale 2025-2027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