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0187A" w14:textId="0BFD0EB5" w:rsidR="00972A0C" w:rsidRPr="00DC68BB" w:rsidRDefault="00D65828" w:rsidP="00D41492">
      <w:pPr>
        <w:pStyle w:val="Titolo1"/>
        <w:jc w:val="both"/>
        <w:rPr>
          <w:rFonts w:asciiTheme="minorHAnsi" w:hAnsiTheme="minorHAnsi" w:cstheme="minorHAnsi"/>
        </w:rPr>
      </w:pPr>
      <w:r w:rsidRPr="00DC68BB">
        <w:rPr>
          <w:rFonts w:asciiTheme="minorHAnsi" w:hAnsiTheme="minorHAnsi" w:cstheme="minorHAnsi"/>
        </w:rPr>
        <w:t>FAQ DA COMUNICARE AGLI UFFICI URP E AGLI OPERATORI ABILITATI AD ACQUISIRE LE DELEGHE DEI CITTADINI</w:t>
      </w:r>
    </w:p>
    <w:p w14:paraId="5047E134" w14:textId="77777777" w:rsidR="00972A0C" w:rsidRPr="00DC68BB" w:rsidRDefault="00972A0C" w:rsidP="00D41492">
      <w:pPr>
        <w:jc w:val="both"/>
        <w:rPr>
          <w:rFonts w:cstheme="minorHAnsi"/>
          <w:b/>
          <w:color w:val="2A2A25"/>
        </w:rPr>
      </w:pPr>
    </w:p>
    <w:p w14:paraId="70975C68" w14:textId="77777777" w:rsidR="009103EC" w:rsidRPr="00DC68BB" w:rsidRDefault="009103EC" w:rsidP="00D41492">
      <w:pPr>
        <w:pStyle w:val="Titolo2"/>
        <w:jc w:val="both"/>
        <w:rPr>
          <w:rFonts w:asciiTheme="minorHAnsi" w:hAnsiTheme="minorHAnsi" w:cstheme="minorHAnsi"/>
        </w:rPr>
      </w:pPr>
      <w:r w:rsidRPr="00DC68BB">
        <w:rPr>
          <w:rFonts w:asciiTheme="minorHAnsi" w:hAnsiTheme="minorHAnsi" w:cstheme="minorHAnsi"/>
        </w:rPr>
        <w:t>Cosa è il Fascicolo Sanitario Elettronico?</w:t>
      </w:r>
    </w:p>
    <w:p w14:paraId="79C0FDC9" w14:textId="765B27B7" w:rsidR="009103EC" w:rsidRPr="00DC68BB" w:rsidRDefault="009103EC" w:rsidP="00D41492">
      <w:pPr>
        <w:jc w:val="both"/>
        <w:rPr>
          <w:rFonts w:cstheme="minorHAnsi"/>
          <w:color w:val="2A2A25"/>
        </w:rPr>
      </w:pPr>
      <w:r w:rsidRPr="00DC68BB">
        <w:rPr>
          <w:rFonts w:cstheme="minorHAnsi"/>
        </w:rPr>
        <w:t xml:space="preserve">È lo strumento che il </w:t>
      </w:r>
      <w:r w:rsidR="00C14381" w:rsidRPr="00DC68BB">
        <w:rPr>
          <w:rFonts w:cstheme="minorHAnsi"/>
        </w:rPr>
        <w:t>S</w:t>
      </w:r>
      <w:r w:rsidRPr="00DC68BB">
        <w:rPr>
          <w:rFonts w:cstheme="minorHAnsi"/>
        </w:rPr>
        <w:t xml:space="preserve">ervizio </w:t>
      </w:r>
      <w:r w:rsidR="00C14381" w:rsidRPr="00DC68BB">
        <w:rPr>
          <w:rFonts w:cstheme="minorHAnsi"/>
        </w:rPr>
        <w:t>S</w:t>
      </w:r>
      <w:r w:rsidRPr="00DC68BB">
        <w:rPr>
          <w:rFonts w:cstheme="minorHAnsi"/>
        </w:rPr>
        <w:t>anitario sta potenziando, con i fondi del PNRR, per migliorare l’assistenza</w:t>
      </w:r>
      <w:r w:rsidR="00C14381" w:rsidRPr="00DC68BB">
        <w:rPr>
          <w:rFonts w:cstheme="minorHAnsi"/>
        </w:rPr>
        <w:t xml:space="preserve"> sanitaria</w:t>
      </w:r>
      <w:r w:rsidRPr="00DC68BB">
        <w:rPr>
          <w:rFonts w:cstheme="minorHAnsi"/>
        </w:rPr>
        <w:t>. Contiene infatti dati e documenti sanitari in sicurezza e permette al personale sanitario di consultarli ovunque, anche in situazioni di emergenza</w:t>
      </w:r>
      <w:r w:rsidRPr="00DC68BB">
        <w:rPr>
          <w:rFonts w:cstheme="minorHAnsi"/>
          <w:color w:val="2A2A25"/>
        </w:rPr>
        <w:t>.</w:t>
      </w:r>
    </w:p>
    <w:p w14:paraId="7BD4F988" w14:textId="77777777" w:rsidR="009103EC" w:rsidRPr="00DC68BB" w:rsidRDefault="009103EC" w:rsidP="00D41492">
      <w:pPr>
        <w:pStyle w:val="Titolo2"/>
        <w:jc w:val="both"/>
        <w:rPr>
          <w:rFonts w:asciiTheme="minorHAnsi" w:hAnsiTheme="minorHAnsi" w:cstheme="minorHAnsi"/>
        </w:rPr>
      </w:pPr>
      <w:r w:rsidRPr="00DC68BB">
        <w:rPr>
          <w:rFonts w:asciiTheme="minorHAnsi" w:hAnsiTheme="minorHAnsi" w:cstheme="minorHAnsi"/>
        </w:rPr>
        <w:t>Da quando è aperto il FSE a tutti i cittadini?</w:t>
      </w:r>
    </w:p>
    <w:p w14:paraId="0A99CEBC" w14:textId="4CB37574" w:rsidR="00375F7E" w:rsidRPr="00DC68BB" w:rsidRDefault="009103EC" w:rsidP="00D41492">
      <w:pPr>
        <w:jc w:val="both"/>
        <w:rPr>
          <w:rFonts w:cstheme="minorHAnsi"/>
        </w:rPr>
      </w:pPr>
      <w:r w:rsidRPr="00DC68BB">
        <w:rPr>
          <w:rFonts w:cstheme="minorHAnsi"/>
        </w:rPr>
        <w:t>Dal 1</w:t>
      </w:r>
      <w:r w:rsidR="00375F7E" w:rsidRPr="00DC68BB">
        <w:rPr>
          <w:rFonts w:cstheme="minorHAnsi"/>
        </w:rPr>
        <w:t>9</w:t>
      </w:r>
      <w:r w:rsidRPr="00DC68BB">
        <w:rPr>
          <w:rFonts w:cstheme="minorHAnsi"/>
        </w:rPr>
        <w:t xml:space="preserve"> maggio 2020, in virtù della normativa COVID, il FSE è stato aperto ai sensi dell’art.11 del DL 34/2020 a tutti i cittadini e viene alimentato</w:t>
      </w:r>
      <w:r w:rsidR="00375F7E" w:rsidRPr="00DC68BB">
        <w:rPr>
          <w:rFonts w:cstheme="minorHAnsi"/>
        </w:rPr>
        <w:t xml:space="preserve"> in maniera automatica</w:t>
      </w:r>
      <w:r w:rsidRPr="00DC68BB">
        <w:rPr>
          <w:rFonts w:cstheme="minorHAnsi"/>
        </w:rPr>
        <w:t xml:space="preserve"> da tutti i documenti clinici prodotti dagli Enti del SSR. Non è alimentato dai documenti prodotti prima del 1 maggio 2020.</w:t>
      </w:r>
    </w:p>
    <w:p w14:paraId="499CCA01" w14:textId="77777777" w:rsidR="009103EC" w:rsidRPr="00DC68BB" w:rsidRDefault="009103EC" w:rsidP="00D41492">
      <w:pPr>
        <w:pStyle w:val="Titolo2"/>
        <w:jc w:val="both"/>
        <w:rPr>
          <w:rFonts w:asciiTheme="minorHAnsi" w:hAnsiTheme="minorHAnsi" w:cstheme="minorHAnsi"/>
        </w:rPr>
      </w:pPr>
      <w:r w:rsidRPr="00DC68BB">
        <w:rPr>
          <w:rFonts w:asciiTheme="minorHAnsi" w:hAnsiTheme="minorHAnsi" w:cstheme="minorHAnsi"/>
        </w:rPr>
        <w:t>Perché questa campagna informativa?</w:t>
      </w:r>
    </w:p>
    <w:p w14:paraId="1EFE5BB0" w14:textId="555D6350" w:rsidR="009103EC" w:rsidRPr="00DC68BB" w:rsidRDefault="009103EC" w:rsidP="00D41492">
      <w:pPr>
        <w:jc w:val="both"/>
        <w:rPr>
          <w:rFonts w:cstheme="minorHAnsi"/>
        </w:rPr>
      </w:pPr>
      <w:r w:rsidRPr="00DC68BB">
        <w:rPr>
          <w:rFonts w:cstheme="minorHAnsi"/>
        </w:rPr>
        <w:t xml:space="preserve">In linea con quanto disposto dall’Autorità garante per la protezione dei dati personali, la campagna informa anche sulla possibilità di opporsi all’inserimento automatico nel </w:t>
      </w:r>
      <w:r w:rsidR="00C14381" w:rsidRPr="00DC68BB">
        <w:rPr>
          <w:rFonts w:cstheme="minorHAnsi"/>
        </w:rPr>
        <w:t>F</w:t>
      </w:r>
      <w:r w:rsidRPr="00DC68BB">
        <w:rPr>
          <w:rFonts w:cstheme="minorHAnsi"/>
        </w:rPr>
        <w:t xml:space="preserve">ascicolo dei dati e documenti sanitari generati da eventi clinici riferiti alle prestazioni erogate dal Servizio </w:t>
      </w:r>
      <w:r w:rsidR="00C14381" w:rsidRPr="00DC68BB">
        <w:rPr>
          <w:rFonts w:cstheme="minorHAnsi"/>
        </w:rPr>
        <w:t>S</w:t>
      </w:r>
      <w:r w:rsidRPr="00DC68BB">
        <w:rPr>
          <w:rFonts w:cstheme="minorHAnsi"/>
        </w:rPr>
        <w:t xml:space="preserve">anitario </w:t>
      </w:r>
      <w:r w:rsidR="00C14381" w:rsidRPr="00DC68BB">
        <w:rPr>
          <w:rFonts w:cstheme="minorHAnsi"/>
        </w:rPr>
        <w:t>N</w:t>
      </w:r>
      <w:r w:rsidRPr="00DC68BB">
        <w:rPr>
          <w:rFonts w:cstheme="minorHAnsi"/>
        </w:rPr>
        <w:t>azionale prima del 19 maggio 2020.</w:t>
      </w:r>
    </w:p>
    <w:p w14:paraId="6DE31307" w14:textId="77777777" w:rsidR="009103EC" w:rsidRPr="00DC68BB" w:rsidRDefault="009103EC" w:rsidP="00D41492">
      <w:pPr>
        <w:pStyle w:val="Titolo2"/>
        <w:jc w:val="both"/>
        <w:rPr>
          <w:rFonts w:asciiTheme="minorHAnsi" w:hAnsiTheme="minorHAnsi" w:cstheme="minorHAnsi"/>
        </w:rPr>
      </w:pPr>
      <w:r w:rsidRPr="00DC68BB">
        <w:rPr>
          <w:rFonts w:asciiTheme="minorHAnsi" w:hAnsiTheme="minorHAnsi" w:cstheme="minorHAnsi"/>
        </w:rPr>
        <w:t>Fino a quando i cittadini potranno esprimere la propria opposizione al pregresso?</w:t>
      </w:r>
    </w:p>
    <w:p w14:paraId="3B5DE9C8" w14:textId="6F01927E" w:rsidR="009103EC" w:rsidRPr="00DC68BB" w:rsidRDefault="009103EC" w:rsidP="00D41492">
      <w:pPr>
        <w:pStyle w:val="Default"/>
        <w:jc w:val="both"/>
        <w:rPr>
          <w:rFonts w:asciiTheme="minorHAnsi" w:hAnsiTheme="minorHAnsi" w:cstheme="minorHAnsi"/>
          <w:sz w:val="23"/>
          <w:szCs w:val="23"/>
        </w:rPr>
      </w:pPr>
      <w:r w:rsidRPr="00DC68BB">
        <w:rPr>
          <w:rFonts w:asciiTheme="minorHAnsi" w:hAnsiTheme="minorHAnsi" w:cstheme="minorHAnsi"/>
          <w:color w:val="2A2A25"/>
        </w:rPr>
        <w:t xml:space="preserve">Sarà </w:t>
      </w:r>
      <w:r w:rsidRPr="00DC68BB">
        <w:rPr>
          <w:rFonts w:asciiTheme="minorHAnsi" w:hAnsiTheme="minorHAnsi" w:cstheme="minorHAnsi"/>
        </w:rPr>
        <w:t>possibile esprimere</w:t>
      </w:r>
      <w:r w:rsidRPr="00DC68BB">
        <w:rPr>
          <w:rFonts w:asciiTheme="minorHAnsi" w:hAnsiTheme="minorHAnsi" w:cstheme="minorHAnsi"/>
          <w:color w:val="2A2A25"/>
        </w:rPr>
        <w:t xml:space="preserve"> la facoltà di opposizione </w:t>
      </w:r>
      <w:r w:rsidRPr="00DC68BB">
        <w:rPr>
          <w:rStyle w:val="Enfasigrassetto"/>
          <w:rFonts w:asciiTheme="minorHAnsi" w:hAnsiTheme="minorHAnsi" w:cstheme="minorHAnsi"/>
          <w:color w:val="2A2A25"/>
        </w:rPr>
        <w:t>da lunedì 22 aprile fino al 30 giugno 2024</w:t>
      </w:r>
      <w:r w:rsidRPr="00DC68BB">
        <w:rPr>
          <w:rFonts w:asciiTheme="minorHAnsi" w:hAnsiTheme="minorHAnsi" w:cstheme="minorHAnsi"/>
          <w:color w:val="2A2A25"/>
        </w:rPr>
        <w:t xml:space="preserve"> tramite il servizio "FSE - Opposizione al pregresso" disponibile </w:t>
      </w:r>
      <w:r w:rsidRPr="00DC68BB">
        <w:rPr>
          <w:rFonts w:asciiTheme="minorHAnsi" w:hAnsiTheme="minorHAnsi" w:cstheme="minorHAnsi"/>
          <w:i/>
          <w:iCs/>
          <w:color w:val="2A2A25"/>
        </w:rPr>
        <w:t>on line</w:t>
      </w:r>
      <w:r w:rsidRPr="00DC68BB">
        <w:rPr>
          <w:rFonts w:asciiTheme="minorHAnsi" w:hAnsiTheme="minorHAnsi" w:cstheme="minorHAnsi"/>
          <w:color w:val="2A2A25"/>
        </w:rPr>
        <w:t xml:space="preserve"> nel Sistema Tessera Sanitaria (TS)</w:t>
      </w:r>
      <w:r w:rsidR="00C14381" w:rsidRPr="00DC68BB">
        <w:rPr>
          <w:rFonts w:asciiTheme="minorHAnsi" w:hAnsiTheme="minorHAnsi" w:cstheme="minorHAnsi"/>
          <w:color w:val="2A2A25"/>
        </w:rPr>
        <w:t xml:space="preserve"> </w:t>
      </w:r>
      <w:r w:rsidR="00C14381" w:rsidRPr="00DC68BB">
        <w:rPr>
          <w:rFonts w:asciiTheme="minorHAnsi" w:hAnsiTheme="minorHAnsi" w:cstheme="minorHAnsi"/>
        </w:rPr>
        <w:t>raggiungibile al seguente indirizzo www.sistemats.it</w:t>
      </w:r>
      <w:r w:rsidR="00C14381" w:rsidRPr="00DC68BB">
        <w:rPr>
          <w:rFonts w:asciiTheme="minorHAnsi" w:hAnsiTheme="minorHAnsi" w:cstheme="minorHAnsi"/>
          <w:sz w:val="23"/>
          <w:szCs w:val="23"/>
        </w:rPr>
        <w:t xml:space="preserve"> </w:t>
      </w:r>
    </w:p>
    <w:p w14:paraId="1CDE6969" w14:textId="77777777" w:rsidR="009103EC" w:rsidRPr="00DC68BB" w:rsidRDefault="009103EC" w:rsidP="00D41492">
      <w:pPr>
        <w:pStyle w:val="Titolo2"/>
        <w:jc w:val="both"/>
        <w:rPr>
          <w:rFonts w:asciiTheme="minorHAnsi" w:eastAsia="Calibri" w:hAnsiTheme="minorHAnsi" w:cstheme="minorHAnsi"/>
        </w:rPr>
      </w:pPr>
      <w:r w:rsidRPr="00DC68BB">
        <w:rPr>
          <w:rFonts w:asciiTheme="minorHAnsi" w:eastAsia="Calibri" w:hAnsiTheme="minorHAnsi" w:cstheme="minorHAnsi"/>
        </w:rPr>
        <w:t>Cosa accade se non esprimo l’opposizione al pregresso?</w:t>
      </w:r>
    </w:p>
    <w:p w14:paraId="1B7EAD20" w14:textId="77777777" w:rsidR="009103EC" w:rsidRPr="00DC68BB" w:rsidRDefault="009103EC" w:rsidP="00D41492">
      <w:pPr>
        <w:jc w:val="both"/>
        <w:rPr>
          <w:rFonts w:eastAsia="Calibri" w:cstheme="minorHAnsi"/>
        </w:rPr>
      </w:pPr>
      <w:r w:rsidRPr="00DC68BB">
        <w:rPr>
          <w:rFonts w:eastAsia="Calibri" w:cstheme="minorHAnsi"/>
        </w:rPr>
        <w:t>Il Fascicolo sanitario elettronico sarà alimentato automaticamente con tutti i documenti clinici prodotti dagli Enti del Sistema Sanitario Regionale e saranno disponibili a medici e cittadini.</w:t>
      </w:r>
    </w:p>
    <w:p w14:paraId="65C45F24" w14:textId="77777777" w:rsidR="009103EC" w:rsidRPr="00DC68BB" w:rsidRDefault="009103EC" w:rsidP="00D41492">
      <w:pPr>
        <w:pStyle w:val="Titolo2"/>
        <w:jc w:val="both"/>
        <w:rPr>
          <w:rFonts w:asciiTheme="minorHAnsi" w:eastAsia="Calibri" w:hAnsiTheme="minorHAnsi" w:cstheme="minorHAnsi"/>
        </w:rPr>
      </w:pPr>
      <w:r w:rsidRPr="00DC68BB">
        <w:rPr>
          <w:rFonts w:asciiTheme="minorHAnsi" w:eastAsia="Calibri" w:hAnsiTheme="minorHAnsi" w:cstheme="minorHAnsi"/>
        </w:rPr>
        <w:t>Cosa accade se esprimo l’opposizione al pregresso?</w:t>
      </w:r>
    </w:p>
    <w:p w14:paraId="3982E2F6" w14:textId="77777777" w:rsidR="009103EC" w:rsidRPr="00DC68BB" w:rsidRDefault="009103EC" w:rsidP="00D41492">
      <w:pPr>
        <w:jc w:val="both"/>
        <w:rPr>
          <w:rFonts w:eastAsia="Calibri" w:cstheme="minorHAnsi"/>
        </w:rPr>
      </w:pPr>
      <w:r w:rsidRPr="00DC68BB">
        <w:rPr>
          <w:rFonts w:eastAsia="Calibri" w:cstheme="minorHAnsi"/>
        </w:rPr>
        <w:t>Il Fascicolo sanitario elettronico NON sarà alimentato automaticamente da tutti i documenti clinici prodotti dagli Enti del Sistema Sanitario Regionale e non saranno disponibili a medici e cittadini.</w:t>
      </w:r>
    </w:p>
    <w:p w14:paraId="6D49CD02" w14:textId="77777777" w:rsidR="006C5A13" w:rsidRPr="00DC68BB" w:rsidRDefault="00B52F06" w:rsidP="00D41492">
      <w:pPr>
        <w:pStyle w:val="Titolo2"/>
        <w:jc w:val="both"/>
        <w:rPr>
          <w:rFonts w:asciiTheme="minorHAnsi" w:eastAsia="Calibri" w:hAnsiTheme="minorHAnsi" w:cstheme="minorHAnsi"/>
        </w:rPr>
      </w:pPr>
      <w:r w:rsidRPr="00DC68BB">
        <w:rPr>
          <w:rFonts w:asciiTheme="minorHAnsi" w:eastAsia="Calibri" w:hAnsiTheme="minorHAnsi" w:cstheme="minorHAnsi"/>
        </w:rPr>
        <w:t xml:space="preserve">Ci sono documenti esclusi dall’ambito di opposizione all’alimentazione? </w:t>
      </w:r>
    </w:p>
    <w:p w14:paraId="434AB72B" w14:textId="77777777" w:rsidR="00B52F06" w:rsidRPr="00DC68BB" w:rsidRDefault="00B52F06" w:rsidP="00D41492">
      <w:pPr>
        <w:jc w:val="both"/>
        <w:rPr>
          <w:rFonts w:eastAsia="Calibri" w:cstheme="minorHAnsi"/>
        </w:rPr>
      </w:pPr>
      <w:r w:rsidRPr="00DC68BB">
        <w:rPr>
          <w:rFonts w:eastAsia="Calibri" w:cstheme="minorHAnsi"/>
        </w:rPr>
        <w:t>Sì, Sono esclusi dall’ambito di opposizione all’alimentazione i documenti digitali già caricati nei FSE regionali per i quali sia stato fornito specifico consenso da parte dell’assistito, nonché le prescrizioni ed erogazioni farmaceutiche e specialistiche rese disponibili a partire dal 1 settembre 2017 e fino al 18 maggio 2020 nei FSE</w:t>
      </w:r>
    </w:p>
    <w:p w14:paraId="2461C6C3" w14:textId="77777777" w:rsidR="006C5A13" w:rsidRPr="00DC68BB" w:rsidRDefault="00ED74F0" w:rsidP="00D41492">
      <w:pPr>
        <w:pStyle w:val="Titolo2"/>
        <w:jc w:val="both"/>
        <w:rPr>
          <w:rFonts w:asciiTheme="minorHAnsi" w:eastAsia="Calibri" w:hAnsiTheme="minorHAnsi" w:cstheme="minorHAnsi"/>
        </w:rPr>
      </w:pPr>
      <w:r w:rsidRPr="00DC68BB">
        <w:rPr>
          <w:rFonts w:asciiTheme="minorHAnsi" w:eastAsia="Calibri" w:hAnsiTheme="minorHAnsi" w:cstheme="minorHAnsi"/>
        </w:rPr>
        <w:t>Come il cittadino può esprimere la facoltà di opposizione all’alimentazione automatica dei documenti prodotti prima del 18 maggio 2020?</w:t>
      </w:r>
      <w:r w:rsidR="009103EC" w:rsidRPr="00DC68BB">
        <w:rPr>
          <w:rFonts w:asciiTheme="minorHAnsi" w:eastAsia="Calibri" w:hAnsiTheme="minorHAnsi" w:cstheme="minorHAnsi"/>
        </w:rPr>
        <w:t xml:space="preserve"> </w:t>
      </w:r>
    </w:p>
    <w:p w14:paraId="5D1C5270" w14:textId="77777777" w:rsidR="007D4A94" w:rsidRPr="007D4A94" w:rsidRDefault="00ED74F0" w:rsidP="007D4A94">
      <w:pPr>
        <w:spacing w:after="0"/>
        <w:ind w:left="360"/>
        <w:jc w:val="both"/>
        <w:rPr>
          <w:rFonts w:eastAsia="Calibri" w:cstheme="minorHAnsi"/>
          <w:szCs w:val="24"/>
        </w:rPr>
      </w:pPr>
      <w:r w:rsidRPr="007D4A94">
        <w:rPr>
          <w:rFonts w:eastAsia="Calibri" w:cstheme="minorHAnsi"/>
        </w:rPr>
        <w:t>Il cittadino ha tre modalità per esercitare il diritto di Opposizione al pregresso:</w:t>
      </w:r>
      <w:r w:rsidR="007D4A94" w:rsidRPr="007D4A94">
        <w:rPr>
          <w:rFonts w:eastAsia="Calibri" w:cstheme="minorHAnsi"/>
        </w:rPr>
        <w:t xml:space="preserve"> </w:t>
      </w:r>
    </w:p>
    <w:p w14:paraId="17958CB8" w14:textId="229383AE" w:rsidR="00ED74F0" w:rsidRPr="00DC68BB" w:rsidRDefault="00ED74F0" w:rsidP="00D41492">
      <w:pPr>
        <w:pStyle w:val="Paragrafoelenco"/>
        <w:numPr>
          <w:ilvl w:val="0"/>
          <w:numId w:val="10"/>
        </w:numPr>
        <w:spacing w:after="0"/>
        <w:jc w:val="both"/>
        <w:rPr>
          <w:rFonts w:eastAsia="Calibri" w:cstheme="minorHAnsi"/>
          <w:szCs w:val="24"/>
        </w:rPr>
      </w:pPr>
      <w:r w:rsidRPr="00DC68BB">
        <w:rPr>
          <w:rFonts w:cstheme="minorHAnsi"/>
          <w:b/>
        </w:rPr>
        <w:t>Applicazione web per i CITTADINI, senza autenticazione</w:t>
      </w:r>
      <w:r w:rsidRPr="00DC68BB">
        <w:rPr>
          <w:rFonts w:cstheme="minorHAnsi"/>
        </w:rPr>
        <w:t xml:space="preserve">: sarà possibile opporsi accedendo al servizio disponibile nell'area libera del portale TS link </w:t>
      </w:r>
      <w:hyperlink r:id="rId5" w:history="1">
        <w:r w:rsidRPr="00DC68BB">
          <w:rPr>
            <w:rStyle w:val="Collegamentoipertestuale"/>
            <w:rFonts w:eastAsia="Calibri" w:cstheme="minorHAnsi"/>
            <w:szCs w:val="24"/>
          </w:rPr>
          <w:t>https://sistemats1.sanita.finanze.it/portale/fse-fascicolo-sanitario-elettronico3</w:t>
        </w:r>
      </w:hyperlink>
      <w:r w:rsidRPr="00DC68BB">
        <w:rPr>
          <w:rFonts w:eastAsia="Calibri" w:cstheme="minorHAnsi"/>
          <w:szCs w:val="24"/>
        </w:rPr>
        <w:t xml:space="preserve">Per poter accedere al servizio sarà necessario fornire il codice fiscale, il numero della tessera sanitaria </w:t>
      </w:r>
      <w:r w:rsidRPr="00DC68BB">
        <w:rPr>
          <w:rFonts w:eastAsia="Calibri" w:cstheme="minorHAnsi"/>
          <w:szCs w:val="24"/>
        </w:rPr>
        <w:lastRenderedPageBreak/>
        <w:t>e la data di scadenza. I cittadini invece che possiedono un codice STP, potranno accedere al servizio inserendo il codice STP, la regione e la data di rilascio del codice.</w:t>
      </w:r>
    </w:p>
    <w:p w14:paraId="008FAE6E" w14:textId="77777777" w:rsidR="007D4A94" w:rsidRPr="007D4A94" w:rsidRDefault="00ED74F0" w:rsidP="007D4A94">
      <w:pPr>
        <w:pStyle w:val="Paragrafoelenco"/>
        <w:numPr>
          <w:ilvl w:val="0"/>
          <w:numId w:val="10"/>
        </w:numPr>
        <w:spacing w:after="0"/>
        <w:jc w:val="both"/>
        <w:rPr>
          <w:rStyle w:val="Collegamentoipertestuale"/>
          <w:rFonts w:eastAsia="Calibri" w:cstheme="minorHAnsi"/>
          <w:color w:val="auto"/>
          <w:szCs w:val="24"/>
          <w:u w:val="none"/>
        </w:rPr>
      </w:pPr>
      <w:r w:rsidRPr="00DC68BB">
        <w:rPr>
          <w:rFonts w:eastAsia="Calibri" w:cstheme="minorHAnsi"/>
          <w:b/>
          <w:szCs w:val="24"/>
        </w:rPr>
        <w:t>Applicazione web per i CITTADINI</w:t>
      </w:r>
      <w:r w:rsidRPr="00DC68BB">
        <w:rPr>
          <w:rFonts w:eastAsia="Calibri" w:cstheme="minorHAnsi"/>
          <w:szCs w:val="24"/>
        </w:rPr>
        <w:t xml:space="preserve">, </w:t>
      </w:r>
      <w:r w:rsidRPr="00DC68BB">
        <w:rPr>
          <w:rFonts w:eastAsia="Calibri" w:cstheme="minorHAnsi"/>
          <w:b/>
          <w:szCs w:val="24"/>
        </w:rPr>
        <w:t>con autenticazione</w:t>
      </w:r>
      <w:r w:rsidRPr="00DC68BB">
        <w:rPr>
          <w:rFonts w:eastAsia="Calibri" w:cstheme="minorHAnsi"/>
          <w:szCs w:val="24"/>
        </w:rPr>
        <w:t xml:space="preserve">: sarà possibile opporsi accedendo al servizio disponibile nell'area autenticata del portale TS utilizzando le proprie credenziali SPID, CIE o TS/CNS, link </w:t>
      </w:r>
      <w:hyperlink r:id="rId6" w:history="1">
        <w:r w:rsidRPr="00DC68BB">
          <w:rPr>
            <w:rStyle w:val="Collegamentoipertestuale"/>
            <w:rFonts w:eastAsia="Calibri" w:cstheme="minorHAnsi"/>
            <w:szCs w:val="24"/>
          </w:rPr>
          <w:t>https://sistemats1.sanita.finanze.it/portale/area-riservata-cittadino</w:t>
        </w:r>
      </w:hyperlink>
    </w:p>
    <w:p w14:paraId="3A404A63" w14:textId="23235002" w:rsidR="009103EC" w:rsidRPr="007D4A94" w:rsidRDefault="00ED74F0" w:rsidP="007D4A94">
      <w:pPr>
        <w:pStyle w:val="Paragrafoelenco"/>
        <w:numPr>
          <w:ilvl w:val="0"/>
          <w:numId w:val="10"/>
        </w:numPr>
        <w:spacing w:after="0"/>
        <w:jc w:val="both"/>
        <w:rPr>
          <w:rFonts w:eastAsia="Calibri" w:cstheme="minorHAnsi"/>
          <w:szCs w:val="24"/>
        </w:rPr>
      </w:pPr>
      <w:r w:rsidRPr="007D4A94">
        <w:rPr>
          <w:rFonts w:eastAsia="Calibri" w:cstheme="minorHAnsi"/>
          <w:b/>
          <w:szCs w:val="24"/>
        </w:rPr>
        <w:t>Applicazione web per gli OPERATORI, con autenticazione</w:t>
      </w:r>
      <w:r w:rsidRPr="007D4A94">
        <w:rPr>
          <w:rFonts w:eastAsia="Calibri" w:cstheme="minorHAnsi"/>
          <w:szCs w:val="24"/>
        </w:rPr>
        <w:t>: il servizio consentirà ai cittadini di delegare alla propria ASL di riferimento (o agli uffici USMAF-SASN del Ministero della Salute) la trasmissione della scelta dell’opposizione al caricamento dei dati sanitari generati da eventi clinici occorsi allo stesso antecedentemente al 19 maggio 2020 (c.d. “opposizione al pregresso”).</w:t>
      </w:r>
    </w:p>
    <w:p w14:paraId="4F7292C7" w14:textId="77777777" w:rsidR="00ED74F0" w:rsidRPr="00DC68BB" w:rsidRDefault="009103EC" w:rsidP="00D41492">
      <w:pPr>
        <w:jc w:val="both"/>
        <w:rPr>
          <w:rFonts w:eastAsia="Calibri" w:cstheme="minorHAnsi"/>
          <w:szCs w:val="24"/>
        </w:rPr>
      </w:pPr>
      <w:r w:rsidRPr="00DC68BB">
        <w:rPr>
          <w:rFonts w:cstheme="minorHAnsi"/>
          <w:color w:val="2A2A25"/>
          <w:szCs w:val="24"/>
        </w:rPr>
        <w:t>Le funzionalità saranno operative a partire dal 22 aprile 2024 e sino al 30 giugno 2024.</w:t>
      </w:r>
    </w:p>
    <w:p w14:paraId="7975BBD3" w14:textId="77777777" w:rsidR="00ED74F0" w:rsidRPr="00DC68BB" w:rsidRDefault="001371D5" w:rsidP="00D41492">
      <w:pPr>
        <w:pStyle w:val="Titolo2"/>
        <w:jc w:val="both"/>
        <w:rPr>
          <w:rFonts w:asciiTheme="minorHAnsi" w:hAnsiTheme="minorHAnsi" w:cstheme="minorHAnsi"/>
        </w:rPr>
      </w:pPr>
      <w:r w:rsidRPr="00DC68BB">
        <w:rPr>
          <w:rFonts w:asciiTheme="minorHAnsi" w:hAnsiTheme="minorHAnsi" w:cstheme="minorHAnsi"/>
        </w:rPr>
        <w:t>Quale funzionalità l’Amministratore di sicurezza della ASL deve usare per abilitare gli operatori individuati a ricevere le deleghe del cittadino?</w:t>
      </w:r>
    </w:p>
    <w:p w14:paraId="34B37E32" w14:textId="77777777" w:rsidR="001371D5" w:rsidRPr="00DC68BB" w:rsidRDefault="001371D5" w:rsidP="00D41492">
      <w:pPr>
        <w:jc w:val="both"/>
        <w:rPr>
          <w:rFonts w:cstheme="minorHAnsi"/>
          <w:color w:val="2A2A25"/>
        </w:rPr>
      </w:pPr>
      <w:r w:rsidRPr="00DC68BB">
        <w:rPr>
          <w:rFonts w:cstheme="minorHAnsi"/>
          <w:color w:val="2A2A25"/>
        </w:rPr>
        <w:t>Il profilo che gli amministratori di sicurezza dovranno usare è “FSE Opposizione al Pregresso”, disponibile a partire dal 22 aprile.</w:t>
      </w:r>
    </w:p>
    <w:p w14:paraId="64FD1768" w14:textId="77777777" w:rsidR="001371D5" w:rsidRPr="00DC68BB" w:rsidRDefault="001371D5" w:rsidP="00D41492">
      <w:pPr>
        <w:pStyle w:val="Titolo2"/>
        <w:jc w:val="both"/>
        <w:rPr>
          <w:rFonts w:asciiTheme="minorHAnsi" w:hAnsiTheme="minorHAnsi" w:cstheme="minorHAnsi"/>
        </w:rPr>
      </w:pPr>
      <w:r w:rsidRPr="00DC68BB">
        <w:rPr>
          <w:rFonts w:asciiTheme="minorHAnsi" w:hAnsiTheme="minorHAnsi" w:cstheme="minorHAnsi"/>
        </w:rPr>
        <w:t>Cosa dovrà fare l’operatore abilitato?</w:t>
      </w:r>
    </w:p>
    <w:p w14:paraId="5C77E96A" w14:textId="170A9780" w:rsidR="001371D5" w:rsidRPr="00DC68BB" w:rsidRDefault="001371D5" w:rsidP="00D41492">
      <w:pPr>
        <w:jc w:val="both"/>
        <w:rPr>
          <w:rFonts w:cstheme="minorHAnsi"/>
          <w:color w:val="2A2A25"/>
        </w:rPr>
      </w:pPr>
      <w:r w:rsidRPr="00DC68BB">
        <w:rPr>
          <w:rFonts w:cstheme="minorHAnsi"/>
          <w:color w:val="2A2A25"/>
        </w:rPr>
        <w:t xml:space="preserve">Dovrà accettare la delega </w:t>
      </w:r>
      <w:r w:rsidR="00506632" w:rsidRPr="00DC68BB">
        <w:rPr>
          <w:rFonts w:cstheme="minorHAnsi"/>
          <w:color w:val="2A2A25"/>
        </w:rPr>
        <w:t xml:space="preserve">redatta e firmata </w:t>
      </w:r>
      <w:r w:rsidRPr="00DC68BB">
        <w:rPr>
          <w:rFonts w:cstheme="minorHAnsi"/>
          <w:color w:val="2A2A25"/>
        </w:rPr>
        <w:t>del cittadino</w:t>
      </w:r>
      <w:r w:rsidR="00E42B91">
        <w:rPr>
          <w:rFonts w:cstheme="minorHAnsi"/>
          <w:color w:val="2A2A25"/>
        </w:rPr>
        <w:t>,</w:t>
      </w:r>
      <w:r w:rsidRPr="00DC68BB">
        <w:rPr>
          <w:rFonts w:cstheme="minorHAnsi"/>
          <w:color w:val="2A2A25"/>
        </w:rPr>
        <w:t xml:space="preserve"> come da modello </w:t>
      </w:r>
      <w:r w:rsidR="00506632" w:rsidRPr="00DC68BB">
        <w:rPr>
          <w:rFonts w:cstheme="minorHAnsi"/>
          <w:color w:val="2A2A25"/>
        </w:rPr>
        <w:t xml:space="preserve">F </w:t>
      </w:r>
      <w:r w:rsidR="00E42B91">
        <w:rPr>
          <w:rFonts w:cstheme="minorHAnsi"/>
          <w:color w:val="2A2A25"/>
        </w:rPr>
        <w:t>allegato alla presente, c</w:t>
      </w:r>
      <w:bookmarkStart w:id="0" w:name="_GoBack"/>
      <w:bookmarkEnd w:id="0"/>
      <w:r w:rsidRPr="00DC68BB">
        <w:rPr>
          <w:rFonts w:cstheme="minorHAnsi"/>
          <w:color w:val="2A2A25"/>
        </w:rPr>
        <w:t xml:space="preserve">ollegarsi al portale </w:t>
      </w:r>
      <w:hyperlink r:id="rId7" w:history="1">
        <w:r w:rsidR="00E42B91" w:rsidRPr="002C0907">
          <w:rPr>
            <w:rStyle w:val="Collegamentoipertestuale"/>
            <w:rFonts w:cstheme="minorHAnsi"/>
          </w:rPr>
          <w:t>www.sistemats.it</w:t>
        </w:r>
      </w:hyperlink>
      <w:r w:rsidR="00E42B91">
        <w:rPr>
          <w:rFonts w:cstheme="minorHAnsi"/>
          <w:color w:val="2A2A25"/>
        </w:rPr>
        <w:t xml:space="preserve"> </w:t>
      </w:r>
      <w:r w:rsidRPr="00DC68BB">
        <w:rPr>
          <w:rFonts w:cstheme="minorHAnsi"/>
          <w:color w:val="2A2A25"/>
        </w:rPr>
        <w:t xml:space="preserve">visualizzare </w:t>
      </w:r>
      <w:r w:rsidR="00506632" w:rsidRPr="00DC68BB">
        <w:rPr>
          <w:rFonts w:cstheme="minorHAnsi"/>
          <w:color w:val="2A2A25"/>
        </w:rPr>
        <w:t xml:space="preserve">nella home page </w:t>
      </w:r>
      <w:r w:rsidRPr="00DC68BB">
        <w:rPr>
          <w:rFonts w:cstheme="minorHAnsi"/>
          <w:color w:val="2A2A25"/>
        </w:rPr>
        <w:t>il nuovo servizio di “</w:t>
      </w:r>
      <w:r w:rsidRPr="00DC68BB">
        <w:rPr>
          <w:rFonts w:cstheme="minorHAnsi"/>
          <w:b/>
          <w:color w:val="2A2A25"/>
        </w:rPr>
        <w:t>Opposizione al pregresso</w:t>
      </w:r>
      <w:r w:rsidRPr="00DC68BB">
        <w:rPr>
          <w:rFonts w:cstheme="minorHAnsi"/>
          <w:color w:val="2A2A25"/>
        </w:rPr>
        <w:t xml:space="preserve">”, relativo al Fascicolo Sanitario Elettronico ed entrare nell’area Accedi come Operatore, dove dovrà autenticarsi con proprie credenziali (SPID almeno di livello 2, CIE, </w:t>
      </w:r>
      <w:r w:rsidR="00F54E25" w:rsidRPr="00DC68BB">
        <w:rPr>
          <w:rFonts w:cstheme="minorHAnsi"/>
          <w:color w:val="2A2A25"/>
        </w:rPr>
        <w:t xml:space="preserve">TS-CNS) sul portale SISTEMA TS. </w:t>
      </w:r>
      <w:r w:rsidRPr="00DC68BB">
        <w:rPr>
          <w:rFonts w:cstheme="minorHAnsi"/>
          <w:color w:val="2A2A25"/>
        </w:rPr>
        <w:t>Una volta esegu</w:t>
      </w:r>
      <w:r w:rsidR="00E42B91">
        <w:rPr>
          <w:rFonts w:cstheme="minorHAnsi"/>
          <w:color w:val="2A2A25"/>
        </w:rPr>
        <w:t>ita l’autenticazion</w:t>
      </w:r>
      <w:r w:rsidRPr="00DC68BB">
        <w:rPr>
          <w:rFonts w:cstheme="minorHAnsi"/>
          <w:color w:val="2A2A25"/>
        </w:rPr>
        <w:t>e, l’OPERATORE approda sulla pagina dove sono presenti tutti i servizi a lui dedicati (con autenticazione) sul portale SISTEMA TS, tra cui il nuovo servizio di “Opposizione al pregresso”.</w:t>
      </w:r>
    </w:p>
    <w:p w14:paraId="7F427247" w14:textId="77777777" w:rsidR="001371D5" w:rsidRPr="00DC68BB" w:rsidRDefault="001371D5" w:rsidP="00D41492">
      <w:pPr>
        <w:jc w:val="both"/>
        <w:rPr>
          <w:rFonts w:cstheme="minorHAnsi"/>
          <w:color w:val="2A2A25"/>
        </w:rPr>
      </w:pPr>
      <w:r w:rsidRPr="00DC68BB">
        <w:rPr>
          <w:rFonts w:cstheme="minorHAnsi"/>
          <w:color w:val="2A2A25"/>
        </w:rPr>
        <w:t xml:space="preserve">Si consiglia di leggere la guida allegata alla presente, in particolare da pag. 13 in poi </w:t>
      </w:r>
      <w:r w:rsidR="00F54E25" w:rsidRPr="00DC68BB">
        <w:rPr>
          <w:rFonts w:cstheme="minorHAnsi"/>
          <w:color w:val="2A2A25"/>
        </w:rPr>
        <w:t xml:space="preserve">(documento nominato </w:t>
      </w:r>
      <w:r w:rsidRPr="00DC68BB">
        <w:rPr>
          <w:rFonts w:cstheme="minorHAnsi"/>
          <w:b/>
          <w:color w:val="2A2A25"/>
        </w:rPr>
        <w:t>FSE - Opposizione Pregresso con modalità di accesso Ver 1.1 15042024</w:t>
      </w:r>
      <w:r w:rsidR="00F54E25" w:rsidRPr="00DC68BB">
        <w:rPr>
          <w:rFonts w:cstheme="minorHAnsi"/>
          <w:color w:val="2A2A25"/>
        </w:rPr>
        <w:t>).</w:t>
      </w:r>
    </w:p>
    <w:p w14:paraId="332707C7" w14:textId="77777777" w:rsidR="001371D5" w:rsidRPr="00DC68BB" w:rsidRDefault="001371D5" w:rsidP="00D41492">
      <w:pPr>
        <w:pStyle w:val="Titolo2"/>
        <w:jc w:val="both"/>
        <w:rPr>
          <w:rFonts w:asciiTheme="minorHAnsi" w:hAnsiTheme="minorHAnsi" w:cstheme="minorHAnsi"/>
        </w:rPr>
      </w:pPr>
      <w:r w:rsidRPr="00DC68BB">
        <w:rPr>
          <w:rFonts w:asciiTheme="minorHAnsi" w:hAnsiTheme="minorHAnsi" w:cstheme="minorHAnsi"/>
        </w:rPr>
        <w:t>Quanto tempo occorre conservare il modulo di delega?</w:t>
      </w:r>
    </w:p>
    <w:p w14:paraId="7B622C0A" w14:textId="77777777" w:rsidR="001371D5" w:rsidRPr="00DC68BB" w:rsidRDefault="001371D5" w:rsidP="00D41492">
      <w:pPr>
        <w:jc w:val="both"/>
        <w:rPr>
          <w:rFonts w:cstheme="minorHAnsi"/>
          <w:color w:val="2A2A25"/>
        </w:rPr>
      </w:pPr>
      <w:r w:rsidRPr="00DC68BB">
        <w:rPr>
          <w:rFonts w:cstheme="minorHAnsi"/>
          <w:color w:val="2A2A25"/>
        </w:rPr>
        <w:t>Il modulo di delega deve essere conservato per 12 mesi</w:t>
      </w:r>
    </w:p>
    <w:p w14:paraId="0040782B" w14:textId="4CC27448" w:rsidR="001371D5" w:rsidRPr="00DC68BB" w:rsidRDefault="001371D5" w:rsidP="00D41492">
      <w:pPr>
        <w:pStyle w:val="Titolo2"/>
        <w:jc w:val="both"/>
        <w:rPr>
          <w:rFonts w:asciiTheme="minorHAnsi" w:hAnsiTheme="minorHAnsi" w:cstheme="minorHAnsi"/>
        </w:rPr>
      </w:pPr>
      <w:r w:rsidRPr="00DC68BB">
        <w:rPr>
          <w:rFonts w:asciiTheme="minorHAnsi" w:hAnsiTheme="minorHAnsi" w:cstheme="minorHAnsi"/>
        </w:rPr>
        <w:t>Il cittadino</w:t>
      </w:r>
      <w:r w:rsidR="00901D7C" w:rsidRPr="00DC68BB">
        <w:rPr>
          <w:rFonts w:asciiTheme="minorHAnsi" w:hAnsiTheme="minorHAnsi" w:cstheme="minorHAnsi"/>
        </w:rPr>
        <w:t xml:space="preserve"> che</w:t>
      </w:r>
      <w:r w:rsidRPr="00DC68BB">
        <w:rPr>
          <w:rFonts w:asciiTheme="minorHAnsi" w:hAnsiTheme="minorHAnsi" w:cstheme="minorHAnsi"/>
        </w:rPr>
        <w:t xml:space="preserve"> ha espresso l’opposizione al pregresso, la può revocare?</w:t>
      </w:r>
    </w:p>
    <w:p w14:paraId="444EB8E7" w14:textId="77777777" w:rsidR="001371D5" w:rsidRPr="00DC68BB" w:rsidRDefault="001371D5" w:rsidP="00D41492">
      <w:pPr>
        <w:jc w:val="both"/>
        <w:rPr>
          <w:rFonts w:cstheme="minorHAnsi"/>
          <w:color w:val="2A2A25"/>
        </w:rPr>
      </w:pPr>
      <w:r w:rsidRPr="00DC68BB">
        <w:rPr>
          <w:rFonts w:cstheme="minorHAnsi"/>
          <w:color w:val="2A2A25"/>
        </w:rPr>
        <w:t>Si,</w:t>
      </w:r>
      <w:r w:rsidR="00F54E25" w:rsidRPr="00DC68BB">
        <w:rPr>
          <w:rFonts w:cstheme="minorHAnsi"/>
          <w:color w:val="2A2A25"/>
        </w:rPr>
        <w:t xml:space="preserve"> ma solo sino al 30 giugno 2024. </w:t>
      </w:r>
      <w:r w:rsidRPr="00DC68BB">
        <w:rPr>
          <w:rFonts w:cstheme="minorHAnsi"/>
          <w:color w:val="2A2A25"/>
        </w:rPr>
        <w:t>La funzione di opposizione al pregresso FSE consente all’assistito di revocare, eventualmente, l’opposizione espressa, esclusivamente nel periodo in cui tale funzione è attiva.</w:t>
      </w:r>
      <w:r w:rsidR="00F54E25" w:rsidRPr="00DC68BB">
        <w:rPr>
          <w:rFonts w:cstheme="minorHAnsi"/>
          <w:color w:val="2A2A25"/>
        </w:rPr>
        <w:t xml:space="preserve"> </w:t>
      </w:r>
      <w:r w:rsidRPr="00DC68BB">
        <w:rPr>
          <w:rFonts w:cstheme="minorHAnsi"/>
          <w:color w:val="2A2A25"/>
        </w:rPr>
        <w:t>Al termine di tale periodo verrà presa in considerazione solo l’ultima decisione espressa dall’assistito, ovvero l’opposizione o la sua revoca.</w:t>
      </w:r>
    </w:p>
    <w:p w14:paraId="0083D0E8" w14:textId="78ECE261" w:rsidR="002E679D" w:rsidRPr="00DC68BB" w:rsidRDefault="00901D7C" w:rsidP="00D41492">
      <w:pPr>
        <w:pStyle w:val="Titolo2"/>
        <w:jc w:val="both"/>
        <w:rPr>
          <w:rFonts w:asciiTheme="minorHAnsi" w:hAnsiTheme="minorHAnsi" w:cstheme="minorHAnsi"/>
        </w:rPr>
      </w:pPr>
      <w:r w:rsidRPr="00DC68BB">
        <w:rPr>
          <w:rFonts w:asciiTheme="minorHAnsi" w:hAnsiTheme="minorHAnsi" w:cstheme="minorHAnsi"/>
        </w:rPr>
        <w:t xml:space="preserve">Cosa è necessario fare per </w:t>
      </w:r>
      <w:r w:rsidR="002E679D" w:rsidRPr="00DC68BB">
        <w:rPr>
          <w:rFonts w:asciiTheme="minorHAnsi" w:hAnsiTheme="minorHAnsi" w:cstheme="minorHAnsi"/>
        </w:rPr>
        <w:t>esercitare l’eventuale opposizione per il minore?</w:t>
      </w:r>
    </w:p>
    <w:p w14:paraId="5BF20D73" w14:textId="77777777" w:rsidR="002E679D" w:rsidRPr="00DC68BB" w:rsidRDefault="002E679D" w:rsidP="00D41492">
      <w:pPr>
        <w:jc w:val="both"/>
        <w:rPr>
          <w:rFonts w:eastAsia="Calibri" w:cstheme="minorHAnsi"/>
          <w:szCs w:val="24"/>
        </w:rPr>
      </w:pPr>
      <w:r w:rsidRPr="00DC68BB">
        <w:rPr>
          <w:rFonts w:cstheme="minorHAnsi"/>
          <w:color w:val="2A2A25"/>
        </w:rPr>
        <w:t xml:space="preserve">È usabile la funzionalità </w:t>
      </w:r>
      <w:r w:rsidRPr="00DC68BB">
        <w:rPr>
          <w:rFonts w:eastAsia="Calibri" w:cstheme="minorHAnsi"/>
          <w:b/>
          <w:szCs w:val="24"/>
        </w:rPr>
        <w:t>Applicazione web per i CITTADINI, senza autenticazione</w:t>
      </w:r>
      <w:r w:rsidRPr="00DC68BB">
        <w:rPr>
          <w:rFonts w:eastAsia="Calibri" w:cstheme="minorHAnsi"/>
          <w:szCs w:val="24"/>
        </w:rPr>
        <w:t xml:space="preserve">: sarà possibile opporsi accedendo al servizio disponibile nell'area libera del portale TS link </w:t>
      </w:r>
      <w:hyperlink r:id="rId8" w:history="1">
        <w:r w:rsidRPr="00DC68BB">
          <w:rPr>
            <w:rStyle w:val="Collegamentoipertestuale"/>
            <w:rFonts w:eastAsia="Calibri" w:cstheme="minorHAnsi"/>
            <w:szCs w:val="24"/>
          </w:rPr>
          <w:t>https://sistemats1.sanita.finanze.it/portale/fse-fascicolo-sanitario-elettronico3</w:t>
        </w:r>
      </w:hyperlink>
    </w:p>
    <w:p w14:paraId="15803B4E" w14:textId="5A38C1D6" w:rsidR="00ED74F0" w:rsidRPr="00D41492" w:rsidRDefault="002E679D" w:rsidP="00D41492">
      <w:pPr>
        <w:jc w:val="both"/>
        <w:rPr>
          <w:rFonts w:eastAsia="Calibri" w:cstheme="minorHAnsi"/>
          <w:szCs w:val="24"/>
        </w:rPr>
      </w:pPr>
      <w:r w:rsidRPr="00DC68BB">
        <w:rPr>
          <w:rFonts w:eastAsia="Calibri" w:cstheme="minorHAnsi"/>
          <w:szCs w:val="24"/>
        </w:rPr>
        <w:t xml:space="preserve"> Per poter accedere al servizio sarà necessario fornire il codice fiscale, il numero della tessera sanitaria e la data di scadenza. I cittadini invece che possiedono un codice STP, potranno accedere al servizio inserendo il codice STP, la regione e la data di rilascio del codice.</w:t>
      </w:r>
    </w:p>
    <w:sectPr w:rsidR="00ED74F0" w:rsidRPr="00D414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7D58"/>
    <w:multiLevelType w:val="multilevel"/>
    <w:tmpl w:val="D068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A7A07"/>
    <w:multiLevelType w:val="hybridMultilevel"/>
    <w:tmpl w:val="79B828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AC1E57"/>
    <w:multiLevelType w:val="hybridMultilevel"/>
    <w:tmpl w:val="703AF9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EC66A0"/>
    <w:multiLevelType w:val="hybridMultilevel"/>
    <w:tmpl w:val="A66C1B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1C5F77"/>
    <w:multiLevelType w:val="multilevel"/>
    <w:tmpl w:val="F23CAAFC"/>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5" w15:restartNumberingAfterBreak="0">
    <w:nsid w:val="2B616230"/>
    <w:multiLevelType w:val="multilevel"/>
    <w:tmpl w:val="35D6D906"/>
    <w:lvl w:ilvl="0">
      <w:start w:val="1"/>
      <w:numFmt w:val="decimal"/>
      <w:lvlText w:val="%1"/>
      <w:lvlJc w:val="left"/>
      <w:pPr>
        <w:tabs>
          <w:tab w:val="num" w:pos="680"/>
        </w:tabs>
        <w:ind w:left="680" w:hanging="340"/>
      </w:pPr>
      <w:rPr>
        <w:rFonts w:ascii="Arial" w:hAnsi="Arial" w:cs="Arial"/>
      </w:rPr>
    </w:lvl>
    <w:lvl w:ilvl="1">
      <w:start w:val="1"/>
      <w:numFmt w:val="lowerLetter"/>
      <w:lvlText w:val="•"/>
      <w:lvlJc w:val="left"/>
      <w:pPr>
        <w:tabs>
          <w:tab w:val="num" w:pos="1020"/>
        </w:tabs>
        <w:ind w:left="1020" w:hanging="340"/>
      </w:pPr>
      <w:rPr>
        <w:rFonts w:ascii="Arial" w:hAnsi="Arial" w:cs="Arial"/>
        <w:sz w:val="24"/>
      </w:rPr>
    </w:lvl>
    <w:lvl w:ilvl="2">
      <w:start w:val="1"/>
      <w:numFmt w:val="lowerRoman"/>
      <w:lvlText w:val="-"/>
      <w:lvlJc w:val="left"/>
      <w:pPr>
        <w:tabs>
          <w:tab w:val="num" w:pos="1360"/>
        </w:tabs>
        <w:ind w:left="1360" w:hanging="340"/>
      </w:pPr>
      <w:rPr>
        <w:rFonts w:ascii="9999999" w:hAnsi="9999999"/>
      </w:rPr>
    </w:lvl>
    <w:lvl w:ilvl="3">
      <w:start w:val="1"/>
      <w:numFmt w:val="decimal"/>
      <w:lvlText w:val="•"/>
      <w:lvlJc w:val="left"/>
      <w:pPr>
        <w:tabs>
          <w:tab w:val="num" w:pos="1701"/>
        </w:tabs>
        <w:ind w:left="1701" w:hanging="341"/>
      </w:pPr>
      <w:rPr>
        <w:rFonts w:ascii="Arial" w:hAnsi="Arial" w:cs="Arial"/>
      </w:rPr>
    </w:lvl>
    <w:lvl w:ilvl="4">
      <w:start w:val="1"/>
      <w:numFmt w:val="lowerLetter"/>
      <w:lvlText w:val="-"/>
      <w:lvlJc w:val="left"/>
      <w:pPr>
        <w:tabs>
          <w:tab w:val="num" w:pos="2041"/>
        </w:tabs>
        <w:ind w:left="2041" w:hanging="340"/>
      </w:pPr>
      <w:rPr>
        <w:rFonts w:ascii="9999999" w:hAnsi="9999999"/>
      </w:rPr>
    </w:lvl>
    <w:lvl w:ilvl="5">
      <w:start w:val="1"/>
      <w:numFmt w:val="lowerRoman"/>
      <w:lvlText w:val="•"/>
      <w:lvlJc w:val="left"/>
      <w:pPr>
        <w:tabs>
          <w:tab w:val="num" w:pos="2381"/>
        </w:tabs>
        <w:ind w:left="2381" w:hanging="340"/>
      </w:pPr>
      <w:rPr>
        <w:rFonts w:ascii="Arial" w:hAnsi="Arial" w:cs="Arial"/>
      </w:rPr>
    </w:lvl>
    <w:lvl w:ilvl="6">
      <w:start w:val="1"/>
      <w:numFmt w:val="decimal"/>
      <w:lvlText w:val="-"/>
      <w:lvlJc w:val="left"/>
      <w:pPr>
        <w:tabs>
          <w:tab w:val="num" w:pos="2721"/>
        </w:tabs>
        <w:ind w:left="2721" w:hanging="340"/>
      </w:pPr>
      <w:rPr>
        <w:rFonts w:ascii="9999999" w:hAnsi="9999999"/>
      </w:rPr>
    </w:lvl>
    <w:lvl w:ilvl="7">
      <w:start w:val="1"/>
      <w:numFmt w:val="lowerLetter"/>
      <w:lvlText w:val="•"/>
      <w:lvlJc w:val="left"/>
      <w:pPr>
        <w:tabs>
          <w:tab w:val="num" w:pos="3061"/>
        </w:tabs>
        <w:ind w:left="3061" w:hanging="340"/>
      </w:pPr>
      <w:rPr>
        <w:rFonts w:ascii="Arial" w:hAnsi="Arial" w:cs="Arial"/>
      </w:rPr>
    </w:lvl>
    <w:lvl w:ilvl="8">
      <w:start w:val="1"/>
      <w:numFmt w:val="lowerRoman"/>
      <w:lvlText w:val="-"/>
      <w:lvlJc w:val="left"/>
      <w:pPr>
        <w:tabs>
          <w:tab w:val="num" w:pos="3401"/>
        </w:tabs>
        <w:ind w:left="3401" w:hanging="340"/>
      </w:pPr>
      <w:rPr>
        <w:rFonts w:ascii="9999999" w:hAnsi="9999999"/>
      </w:rPr>
    </w:lvl>
  </w:abstractNum>
  <w:abstractNum w:abstractNumId="6" w15:restartNumberingAfterBreak="0">
    <w:nsid w:val="5BF3345B"/>
    <w:multiLevelType w:val="hybridMultilevel"/>
    <w:tmpl w:val="64B26C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A64E5A"/>
    <w:multiLevelType w:val="hybridMultilevel"/>
    <w:tmpl w:val="54F467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916781"/>
    <w:multiLevelType w:val="hybridMultilevel"/>
    <w:tmpl w:val="2CBA49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DF06C1"/>
    <w:multiLevelType w:val="hybridMultilevel"/>
    <w:tmpl w:val="54F467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1326517"/>
    <w:multiLevelType w:val="hybridMultilevel"/>
    <w:tmpl w:val="D43207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82B5631"/>
    <w:multiLevelType w:val="multilevel"/>
    <w:tmpl w:val="C5B2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0"/>
  </w:num>
  <w:num w:numId="4">
    <w:abstractNumId w:val="11"/>
  </w:num>
  <w:num w:numId="5">
    <w:abstractNumId w:val="4"/>
  </w:num>
  <w:num w:numId="6">
    <w:abstractNumId w:val="6"/>
  </w:num>
  <w:num w:numId="7">
    <w:abstractNumId w:val="10"/>
  </w:num>
  <w:num w:numId="8">
    <w:abstractNumId w:val="8"/>
  </w:num>
  <w:num w:numId="9">
    <w:abstractNumId w:val="2"/>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78"/>
    <w:rsid w:val="001371D5"/>
    <w:rsid w:val="001C185A"/>
    <w:rsid w:val="002E679D"/>
    <w:rsid w:val="0032675E"/>
    <w:rsid w:val="00375F7E"/>
    <w:rsid w:val="003B2F39"/>
    <w:rsid w:val="00403CE4"/>
    <w:rsid w:val="00506632"/>
    <w:rsid w:val="006C5A13"/>
    <w:rsid w:val="007D4A94"/>
    <w:rsid w:val="00901D7C"/>
    <w:rsid w:val="009103EC"/>
    <w:rsid w:val="00972A0C"/>
    <w:rsid w:val="00A32C78"/>
    <w:rsid w:val="00B52F06"/>
    <w:rsid w:val="00C14381"/>
    <w:rsid w:val="00D2359E"/>
    <w:rsid w:val="00D23654"/>
    <w:rsid w:val="00D41492"/>
    <w:rsid w:val="00D65828"/>
    <w:rsid w:val="00DC68BB"/>
    <w:rsid w:val="00E42B91"/>
    <w:rsid w:val="00ED74F0"/>
    <w:rsid w:val="00F54E25"/>
    <w:rsid w:val="00F70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3B40"/>
  <w15:chartTrackingRefBased/>
  <w15:docId w15:val="{5FF76178-6FCB-4C7B-85FB-503C4188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5828"/>
    <w:rPr>
      <w:sz w:val="24"/>
    </w:rPr>
  </w:style>
  <w:style w:type="paragraph" w:styleId="Titolo1">
    <w:name w:val="heading 1"/>
    <w:basedOn w:val="Normale"/>
    <w:next w:val="Normale"/>
    <w:link w:val="Titolo1Carattere"/>
    <w:uiPriority w:val="9"/>
    <w:qFormat/>
    <w:rsid w:val="00D658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D65828"/>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paragraph" w:styleId="Titolo4">
    <w:name w:val="heading 4"/>
    <w:basedOn w:val="Normale"/>
    <w:link w:val="Titolo4Carattere"/>
    <w:uiPriority w:val="9"/>
    <w:qFormat/>
    <w:rsid w:val="00F70A99"/>
    <w:pPr>
      <w:spacing w:before="100" w:beforeAutospacing="1" w:after="100" w:afterAutospacing="1" w:line="240" w:lineRule="auto"/>
      <w:outlineLvl w:val="3"/>
    </w:pPr>
    <w:rPr>
      <w:rFonts w:ascii="Times New Roman" w:eastAsia="Times New Roman" w:hAnsi="Times New Roman" w:cs="Times New Roman"/>
      <w:b/>
      <w:b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5828"/>
    <w:pPr>
      <w:spacing w:before="100" w:beforeAutospacing="1" w:after="100" w:afterAutospacing="1" w:line="240" w:lineRule="auto"/>
    </w:pPr>
    <w:rPr>
      <w:rFonts w:eastAsia="Times New Roman" w:cs="Times New Roman"/>
      <w:szCs w:val="24"/>
      <w:lang w:eastAsia="it-IT"/>
    </w:rPr>
  </w:style>
  <w:style w:type="character" w:styleId="Enfasigrassetto">
    <w:name w:val="Strong"/>
    <w:basedOn w:val="Carpredefinitoparagrafo"/>
    <w:uiPriority w:val="22"/>
    <w:qFormat/>
    <w:rsid w:val="00ED74F0"/>
    <w:rPr>
      <w:b/>
      <w:bCs/>
    </w:rPr>
  </w:style>
  <w:style w:type="paragraph" w:styleId="Paragrafoelenco">
    <w:name w:val="List Paragraph"/>
    <w:basedOn w:val="Normale"/>
    <w:uiPriority w:val="34"/>
    <w:qFormat/>
    <w:rsid w:val="00ED74F0"/>
    <w:pPr>
      <w:ind w:left="720"/>
      <w:contextualSpacing/>
    </w:pPr>
  </w:style>
  <w:style w:type="character" w:styleId="Collegamentoipertestuale">
    <w:name w:val="Hyperlink"/>
    <w:basedOn w:val="Carpredefinitoparagrafo"/>
    <w:uiPriority w:val="99"/>
    <w:unhideWhenUsed/>
    <w:rsid w:val="00ED74F0"/>
    <w:rPr>
      <w:color w:val="0563C1" w:themeColor="hyperlink"/>
      <w:u w:val="single"/>
    </w:rPr>
  </w:style>
  <w:style w:type="paragraph" w:styleId="Revisione">
    <w:name w:val="Revision"/>
    <w:hidden/>
    <w:uiPriority w:val="99"/>
    <w:semiHidden/>
    <w:rsid w:val="00F70A99"/>
    <w:pPr>
      <w:spacing w:after="0" w:line="240" w:lineRule="auto"/>
    </w:pPr>
  </w:style>
  <w:style w:type="character" w:customStyle="1" w:styleId="Titolo4Carattere">
    <w:name w:val="Titolo 4 Carattere"/>
    <w:basedOn w:val="Carpredefinitoparagrafo"/>
    <w:link w:val="Titolo4"/>
    <w:uiPriority w:val="9"/>
    <w:rsid w:val="00F70A99"/>
    <w:rPr>
      <w:rFonts w:ascii="Times New Roman" w:eastAsia="Times New Roman" w:hAnsi="Times New Roman" w:cs="Times New Roman"/>
      <w:b/>
      <w:bCs/>
      <w:sz w:val="24"/>
      <w:szCs w:val="24"/>
      <w:lang w:eastAsia="it-IT"/>
    </w:rPr>
  </w:style>
  <w:style w:type="character" w:styleId="Rimandocommento">
    <w:name w:val="annotation reference"/>
    <w:basedOn w:val="Carpredefinitoparagrafo"/>
    <w:uiPriority w:val="99"/>
    <w:semiHidden/>
    <w:unhideWhenUsed/>
    <w:rsid w:val="00375F7E"/>
    <w:rPr>
      <w:sz w:val="16"/>
      <w:szCs w:val="16"/>
    </w:rPr>
  </w:style>
  <w:style w:type="paragraph" w:styleId="Testocommento">
    <w:name w:val="annotation text"/>
    <w:basedOn w:val="Normale"/>
    <w:link w:val="TestocommentoCarattere"/>
    <w:uiPriority w:val="99"/>
    <w:unhideWhenUsed/>
    <w:rsid w:val="00375F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375F7E"/>
    <w:rPr>
      <w:sz w:val="20"/>
      <w:szCs w:val="20"/>
    </w:rPr>
  </w:style>
  <w:style w:type="paragraph" w:styleId="Soggettocommento">
    <w:name w:val="annotation subject"/>
    <w:basedOn w:val="Testocommento"/>
    <w:next w:val="Testocommento"/>
    <w:link w:val="SoggettocommentoCarattere"/>
    <w:uiPriority w:val="99"/>
    <w:semiHidden/>
    <w:unhideWhenUsed/>
    <w:rsid w:val="00375F7E"/>
    <w:rPr>
      <w:b/>
      <w:bCs/>
    </w:rPr>
  </w:style>
  <w:style w:type="character" w:customStyle="1" w:styleId="SoggettocommentoCarattere">
    <w:name w:val="Soggetto commento Carattere"/>
    <w:basedOn w:val="TestocommentoCarattere"/>
    <w:link w:val="Soggettocommento"/>
    <w:uiPriority w:val="99"/>
    <w:semiHidden/>
    <w:rsid w:val="00375F7E"/>
    <w:rPr>
      <w:b/>
      <w:bCs/>
      <w:sz w:val="20"/>
      <w:szCs w:val="20"/>
    </w:rPr>
  </w:style>
  <w:style w:type="character" w:customStyle="1" w:styleId="Titolo1Carattere">
    <w:name w:val="Titolo 1 Carattere"/>
    <w:basedOn w:val="Carpredefinitoparagrafo"/>
    <w:link w:val="Titolo1"/>
    <w:uiPriority w:val="9"/>
    <w:rsid w:val="00D65828"/>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D65828"/>
    <w:rPr>
      <w:rFonts w:asciiTheme="majorHAnsi" w:eastAsiaTheme="majorEastAsia" w:hAnsiTheme="majorHAnsi" w:cstheme="majorBidi"/>
      <w:b/>
      <w:color w:val="2E74B5" w:themeColor="accent1" w:themeShade="BF"/>
      <w:sz w:val="28"/>
      <w:szCs w:val="26"/>
    </w:rPr>
  </w:style>
  <w:style w:type="paragraph" w:customStyle="1" w:styleId="Default">
    <w:name w:val="Default"/>
    <w:rsid w:val="00C14381"/>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C68B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6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4057">
      <w:bodyDiv w:val="1"/>
      <w:marLeft w:val="0"/>
      <w:marRight w:val="0"/>
      <w:marTop w:val="0"/>
      <w:marBottom w:val="0"/>
      <w:divBdr>
        <w:top w:val="none" w:sz="0" w:space="0" w:color="auto"/>
        <w:left w:val="none" w:sz="0" w:space="0" w:color="auto"/>
        <w:bottom w:val="none" w:sz="0" w:space="0" w:color="auto"/>
        <w:right w:val="none" w:sz="0" w:space="0" w:color="auto"/>
      </w:divBdr>
    </w:div>
    <w:div w:id="293020719">
      <w:bodyDiv w:val="1"/>
      <w:marLeft w:val="0"/>
      <w:marRight w:val="0"/>
      <w:marTop w:val="0"/>
      <w:marBottom w:val="0"/>
      <w:divBdr>
        <w:top w:val="none" w:sz="0" w:space="0" w:color="auto"/>
        <w:left w:val="none" w:sz="0" w:space="0" w:color="auto"/>
        <w:bottom w:val="none" w:sz="0" w:space="0" w:color="auto"/>
        <w:right w:val="none" w:sz="0" w:space="0" w:color="auto"/>
      </w:divBdr>
    </w:div>
    <w:div w:id="71010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ats1.sanita.finanze.it/portale/fse-fascicolo-sanitario-elettronico3" TargetMode="External"/><Relationship Id="rId3" Type="http://schemas.openxmlformats.org/officeDocument/2006/relationships/settings" Target="settings.xml"/><Relationship Id="rId7" Type="http://schemas.openxmlformats.org/officeDocument/2006/relationships/hyperlink" Target="http://www.sistemat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stemats1.sanita.finanze.it/portale/area-riservata-cittadino" TargetMode="External"/><Relationship Id="rId5" Type="http://schemas.openxmlformats.org/officeDocument/2006/relationships/hyperlink" Target="https://sistemats1.sanita.finanze.it/portale/fse-fascicolo-sanitario-elettronico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965</Words>
  <Characters>5507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2024-04-20T12:30:00Z</dcterms:created>
  <dcterms:modified xsi:type="dcterms:W3CDTF">2024-04-20T17:46:00Z</dcterms:modified>
</cp:coreProperties>
</file>