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0D01A" w14:textId="77777777" w:rsidR="00C56265" w:rsidRPr="00C56265" w:rsidRDefault="00C56265" w:rsidP="00475188">
      <w:pPr>
        <w:spacing w:after="120" w:line="276" w:lineRule="auto"/>
        <w:jc w:val="center"/>
        <w:rPr>
          <w:rFonts w:asciiTheme="minorHAnsi" w:hAnsiTheme="minorHAnsi"/>
          <w:b/>
          <w:sz w:val="22"/>
          <w:szCs w:val="22"/>
        </w:rPr>
      </w:pPr>
      <w:r w:rsidRPr="00C56265">
        <w:rPr>
          <w:rFonts w:asciiTheme="minorHAnsi" w:hAnsiTheme="minorHAnsi"/>
          <w:b/>
          <w:sz w:val="22"/>
          <w:szCs w:val="22"/>
        </w:rPr>
        <w:t>NOTA METODOLOGICA</w:t>
      </w:r>
    </w:p>
    <w:p w14:paraId="724C708D" w14:textId="77777777" w:rsidR="00C56265" w:rsidRDefault="00C56265" w:rsidP="000764B6">
      <w:pPr>
        <w:spacing w:after="120" w:line="276" w:lineRule="auto"/>
        <w:ind w:firstLine="708"/>
        <w:jc w:val="both"/>
        <w:rPr>
          <w:rFonts w:asciiTheme="minorHAnsi" w:hAnsiTheme="minorHAnsi"/>
          <w:sz w:val="22"/>
          <w:szCs w:val="22"/>
        </w:rPr>
      </w:pPr>
    </w:p>
    <w:p w14:paraId="7986BBD8" w14:textId="549954CA" w:rsidR="0003396D" w:rsidRPr="00F21EBD" w:rsidRDefault="0003396D" w:rsidP="00434622">
      <w:pPr>
        <w:spacing w:after="120" w:line="276" w:lineRule="auto"/>
        <w:ind w:firstLine="708"/>
        <w:jc w:val="both"/>
        <w:rPr>
          <w:rFonts w:asciiTheme="minorHAnsi" w:hAnsiTheme="minorHAnsi"/>
          <w:sz w:val="22"/>
          <w:szCs w:val="22"/>
        </w:rPr>
      </w:pPr>
      <w:r w:rsidRPr="00F21EBD">
        <w:rPr>
          <w:rFonts w:asciiTheme="minorHAnsi" w:hAnsiTheme="minorHAnsi"/>
          <w:sz w:val="22"/>
          <w:szCs w:val="22"/>
        </w:rPr>
        <w:t xml:space="preserve">La rilevazione dei dati dovrà essere effettuata sulla base dei risultati evidenziati </w:t>
      </w:r>
      <w:r w:rsidR="00C56265" w:rsidRPr="00F21EBD">
        <w:rPr>
          <w:rFonts w:asciiTheme="minorHAnsi" w:hAnsiTheme="minorHAnsi"/>
          <w:sz w:val="22"/>
          <w:szCs w:val="22"/>
        </w:rPr>
        <w:t>nel bilancio consuntivo 201</w:t>
      </w:r>
      <w:r w:rsidR="00A46C77">
        <w:rPr>
          <w:rFonts w:asciiTheme="minorHAnsi" w:hAnsiTheme="minorHAnsi"/>
          <w:sz w:val="22"/>
          <w:szCs w:val="22"/>
        </w:rPr>
        <w:t>9</w:t>
      </w:r>
      <w:r w:rsidR="00C56265" w:rsidRPr="00F21EBD">
        <w:rPr>
          <w:rFonts w:asciiTheme="minorHAnsi" w:hAnsiTheme="minorHAnsi"/>
          <w:sz w:val="22"/>
          <w:szCs w:val="22"/>
        </w:rPr>
        <w:t xml:space="preserve"> dell’Ente, </w:t>
      </w:r>
      <w:r w:rsidRPr="00F21EBD">
        <w:rPr>
          <w:rFonts w:asciiTheme="minorHAnsi" w:hAnsiTheme="minorHAnsi"/>
          <w:sz w:val="22"/>
          <w:szCs w:val="22"/>
        </w:rPr>
        <w:t xml:space="preserve">secondo i criteri metodologici di seguito specificati. </w:t>
      </w:r>
    </w:p>
    <w:p w14:paraId="40E13997" w14:textId="77777777" w:rsidR="00C56265" w:rsidRPr="00F21EBD" w:rsidRDefault="00C56265" w:rsidP="00F21EBD">
      <w:pPr>
        <w:spacing w:after="120" w:line="276" w:lineRule="auto"/>
        <w:ind w:firstLine="708"/>
        <w:jc w:val="both"/>
        <w:rPr>
          <w:rFonts w:asciiTheme="minorHAnsi" w:hAnsiTheme="minorHAnsi"/>
          <w:sz w:val="22"/>
          <w:szCs w:val="22"/>
        </w:rPr>
      </w:pPr>
    </w:p>
    <w:p w14:paraId="1B6B33E5" w14:textId="77777777" w:rsidR="00C56265" w:rsidRPr="00C56265" w:rsidRDefault="00C56265" w:rsidP="00F21EBD">
      <w:pPr>
        <w:shd w:val="clear" w:color="auto" w:fill="EEF3F7"/>
        <w:spacing w:line="276" w:lineRule="auto"/>
        <w:textAlignment w:val="baseline"/>
        <w:outlineLvl w:val="2"/>
        <w:rPr>
          <w:rFonts w:asciiTheme="minorHAnsi" w:eastAsia="Times New Roman" w:hAnsiTheme="minorHAnsi" w:cs="Helvetica"/>
          <w:b/>
          <w:bCs/>
          <w:smallCaps/>
          <w:color w:val="002448"/>
          <w:spacing w:val="15"/>
          <w:sz w:val="22"/>
          <w:szCs w:val="22"/>
          <w:lang w:eastAsia="it-IT"/>
        </w:rPr>
      </w:pPr>
      <w:r w:rsidRPr="00C56265">
        <w:rPr>
          <w:rFonts w:asciiTheme="minorHAnsi" w:eastAsia="Times New Roman" w:hAnsiTheme="minorHAnsi" w:cs="Helvetica"/>
          <w:b/>
          <w:bCs/>
          <w:smallCaps/>
          <w:color w:val="002448"/>
          <w:spacing w:val="15"/>
          <w:sz w:val="22"/>
          <w:szCs w:val="22"/>
          <w:bdr w:val="none" w:sz="0" w:space="0" w:color="auto" w:frame="1"/>
          <w:lang w:eastAsia="it-IT"/>
        </w:rPr>
        <w:t xml:space="preserve">Natura dei dati </w:t>
      </w:r>
    </w:p>
    <w:p w14:paraId="7AB28A17" w14:textId="77777777" w:rsidR="00C56265" w:rsidRPr="00C56265" w:rsidRDefault="00C56265" w:rsidP="00434622">
      <w:pPr>
        <w:shd w:val="clear" w:color="auto" w:fill="FFFFFF"/>
        <w:spacing w:line="276" w:lineRule="auto"/>
        <w:ind w:firstLine="708"/>
        <w:jc w:val="both"/>
        <w:textAlignment w:val="baseline"/>
        <w:rPr>
          <w:rFonts w:asciiTheme="minorHAnsi" w:eastAsia="Times New Roman" w:hAnsiTheme="minorHAnsi" w:cs="Arial"/>
          <w:color w:val="000000"/>
          <w:sz w:val="22"/>
          <w:szCs w:val="22"/>
          <w:lang w:eastAsia="it-IT"/>
        </w:rPr>
      </w:pPr>
      <w:r w:rsidRPr="00C56265">
        <w:rPr>
          <w:rFonts w:asciiTheme="minorHAnsi" w:eastAsia="Times New Roman" w:hAnsiTheme="minorHAnsi" w:cs="Arial"/>
          <w:color w:val="000000"/>
          <w:sz w:val="22"/>
          <w:szCs w:val="22"/>
          <w:bdr w:val="none" w:sz="0" w:space="0" w:color="auto" w:frame="1"/>
          <w:lang w:eastAsia="it-IT"/>
        </w:rPr>
        <w:t>La natura dei CPT è di tipo finanziario: i flussi rilevati sono articolati secondo una ripartizione per voce economica che riprende quella adottata nella compilazione dei bilanci degli enti pubblici che utilizzano il criterio della contabilità finanziaria, ricostruendo un quadro esaustivo di tutte quelle operazioni che generano movimenti monetari reali.</w:t>
      </w:r>
    </w:p>
    <w:p w14:paraId="2E689383" w14:textId="77777777" w:rsidR="00C56265" w:rsidRPr="00F21EBD" w:rsidRDefault="00C56265" w:rsidP="00F21EBD">
      <w:pPr>
        <w:spacing w:after="120" w:line="276" w:lineRule="auto"/>
        <w:ind w:firstLine="708"/>
        <w:jc w:val="both"/>
        <w:rPr>
          <w:rFonts w:asciiTheme="minorHAnsi" w:hAnsiTheme="minorHAnsi"/>
          <w:sz w:val="22"/>
          <w:szCs w:val="22"/>
        </w:rPr>
      </w:pPr>
    </w:p>
    <w:p w14:paraId="7CEFC581" w14:textId="77777777" w:rsidR="00407952" w:rsidRPr="00F21EBD" w:rsidRDefault="00407952" w:rsidP="00F21EBD">
      <w:pPr>
        <w:pStyle w:val="Titolo3"/>
        <w:shd w:val="clear" w:color="auto" w:fill="EEF3F7"/>
        <w:spacing w:before="0" w:beforeAutospacing="0" w:after="0" w:afterAutospacing="0" w:line="276" w:lineRule="auto"/>
        <w:textAlignment w:val="baseline"/>
        <w:rPr>
          <w:rFonts w:asciiTheme="minorHAnsi" w:hAnsiTheme="minorHAnsi" w:cs="Helvetica"/>
          <w:smallCaps/>
          <w:color w:val="002448"/>
          <w:spacing w:val="15"/>
          <w:sz w:val="22"/>
          <w:szCs w:val="22"/>
        </w:rPr>
      </w:pPr>
      <w:r w:rsidRPr="00F21EBD">
        <w:rPr>
          <w:rFonts w:asciiTheme="minorHAnsi" w:hAnsiTheme="minorHAnsi" w:cs="Helvetica"/>
          <w:smallCaps/>
          <w:color w:val="002448"/>
          <w:spacing w:val="15"/>
          <w:sz w:val="22"/>
          <w:szCs w:val="22"/>
          <w:bdr w:val="none" w:sz="0" w:space="0" w:color="auto" w:frame="1"/>
        </w:rPr>
        <w:t>Categorie economiche                    </w:t>
      </w:r>
    </w:p>
    <w:p w14:paraId="1578D98E" w14:textId="77777777" w:rsidR="00407952" w:rsidRPr="00F21EBD" w:rsidRDefault="00407952" w:rsidP="00434622">
      <w:pPr>
        <w:shd w:val="clear" w:color="auto" w:fill="FFFFFF"/>
        <w:spacing w:line="276" w:lineRule="auto"/>
        <w:ind w:firstLine="708"/>
        <w:jc w:val="both"/>
        <w:textAlignment w:val="baseline"/>
        <w:rPr>
          <w:rFonts w:asciiTheme="minorHAnsi" w:hAnsiTheme="minorHAnsi" w:cs="Arial"/>
          <w:color w:val="000000"/>
          <w:sz w:val="22"/>
          <w:szCs w:val="22"/>
        </w:rPr>
      </w:pPr>
      <w:r w:rsidRPr="00F21EBD">
        <w:rPr>
          <w:rFonts w:asciiTheme="minorHAnsi" w:hAnsiTheme="minorHAnsi" w:cs="Arial"/>
          <w:color w:val="000000"/>
          <w:sz w:val="22"/>
          <w:szCs w:val="22"/>
          <w:bdr w:val="none" w:sz="0" w:space="0" w:color="auto" w:frame="1"/>
        </w:rPr>
        <w:t xml:space="preserve">Le Categorie economiche adottate dal </w:t>
      </w:r>
      <w:r w:rsidR="00E84F6C">
        <w:rPr>
          <w:rFonts w:asciiTheme="minorHAnsi" w:hAnsiTheme="minorHAnsi" w:cs="Arial"/>
          <w:color w:val="000000"/>
          <w:sz w:val="22"/>
          <w:szCs w:val="22"/>
          <w:bdr w:val="none" w:sz="0" w:space="0" w:color="auto" w:frame="1"/>
        </w:rPr>
        <w:t>Sistema CPT sono riassunte nelle</w:t>
      </w:r>
      <w:r w:rsidRPr="00F21EBD">
        <w:rPr>
          <w:rFonts w:asciiTheme="minorHAnsi" w:hAnsiTheme="minorHAnsi" w:cs="Arial"/>
          <w:color w:val="000000"/>
          <w:sz w:val="22"/>
          <w:szCs w:val="22"/>
          <w:bdr w:val="none" w:sz="0" w:space="0" w:color="auto" w:frame="1"/>
        </w:rPr>
        <w:t xml:space="preserve"> tabell</w:t>
      </w:r>
      <w:r w:rsidR="00E84F6C">
        <w:rPr>
          <w:rFonts w:asciiTheme="minorHAnsi" w:hAnsiTheme="minorHAnsi" w:cs="Arial"/>
          <w:color w:val="000000"/>
          <w:sz w:val="22"/>
          <w:szCs w:val="22"/>
          <w:bdr w:val="none" w:sz="0" w:space="0" w:color="auto" w:frame="1"/>
        </w:rPr>
        <w:t>e</w:t>
      </w:r>
      <w:r w:rsidRPr="00F21EBD">
        <w:rPr>
          <w:rFonts w:asciiTheme="minorHAnsi" w:hAnsiTheme="minorHAnsi" w:cs="Arial"/>
          <w:color w:val="000000"/>
          <w:sz w:val="22"/>
          <w:szCs w:val="22"/>
          <w:bdr w:val="none" w:sz="0" w:space="0" w:color="auto" w:frame="1"/>
        </w:rPr>
        <w:t xml:space="preserve"> </w:t>
      </w:r>
      <w:r w:rsidR="00E84F6C">
        <w:rPr>
          <w:rFonts w:asciiTheme="minorHAnsi" w:hAnsiTheme="minorHAnsi" w:cs="Arial"/>
          <w:color w:val="000000"/>
          <w:sz w:val="22"/>
          <w:szCs w:val="22"/>
          <w:bdr w:val="none" w:sz="0" w:space="0" w:color="auto" w:frame="1"/>
        </w:rPr>
        <w:t>di Entrata e Spesa riportate</w:t>
      </w:r>
      <w:r w:rsidR="003C4B65" w:rsidRPr="00F21EBD">
        <w:rPr>
          <w:rFonts w:asciiTheme="minorHAnsi" w:hAnsiTheme="minorHAnsi" w:cs="Arial"/>
          <w:color w:val="000000"/>
          <w:sz w:val="22"/>
          <w:szCs w:val="22"/>
          <w:bdr w:val="none" w:sz="0" w:space="0" w:color="auto" w:frame="1"/>
        </w:rPr>
        <w:t xml:space="preserve"> </w:t>
      </w:r>
      <w:r w:rsidRPr="00F21EBD">
        <w:rPr>
          <w:rFonts w:asciiTheme="minorHAnsi" w:hAnsiTheme="minorHAnsi" w:cs="Arial"/>
          <w:color w:val="000000"/>
          <w:sz w:val="22"/>
          <w:szCs w:val="22"/>
          <w:bdr w:val="none" w:sz="0" w:space="0" w:color="auto" w:frame="1"/>
        </w:rPr>
        <w:t>di seguito</w:t>
      </w:r>
      <w:r w:rsidRPr="00F21EBD">
        <w:rPr>
          <w:rFonts w:asciiTheme="minorHAnsi" w:hAnsiTheme="minorHAnsi" w:cs="Arial"/>
          <w:color w:val="000000"/>
          <w:sz w:val="22"/>
          <w:szCs w:val="22"/>
        </w:rPr>
        <w:t>.</w:t>
      </w:r>
    </w:p>
    <w:p w14:paraId="583EE172" w14:textId="77777777" w:rsidR="00407952" w:rsidRPr="00F21EBD" w:rsidRDefault="00407952" w:rsidP="00434622">
      <w:pPr>
        <w:shd w:val="clear" w:color="auto" w:fill="FFFFFF"/>
        <w:spacing w:line="276" w:lineRule="auto"/>
        <w:ind w:firstLine="708"/>
        <w:jc w:val="both"/>
        <w:textAlignment w:val="baseline"/>
        <w:rPr>
          <w:rFonts w:asciiTheme="minorHAnsi" w:hAnsiTheme="minorHAnsi" w:cs="Arial"/>
          <w:color w:val="000000"/>
          <w:sz w:val="22"/>
          <w:szCs w:val="22"/>
        </w:rPr>
      </w:pPr>
      <w:r w:rsidRPr="00F21EBD">
        <w:rPr>
          <w:rFonts w:asciiTheme="minorHAnsi" w:hAnsiTheme="minorHAnsi" w:cs="Arial"/>
          <w:color w:val="000000"/>
          <w:sz w:val="22"/>
          <w:szCs w:val="22"/>
          <w:bdr w:val="none" w:sz="0" w:space="0" w:color="auto" w:frame="1"/>
        </w:rPr>
        <w:t>Tale schema è stato elaborato per rendere confrontabile un universo ampio ed eterogeneo quale quello dei CPT, in assenza di una classificazione uniforme per tutte le categorie economiche degli enti pubblici della PA, e pervenire così a conti consolidati che comprendono voci di spesa e di entrata sostanzialmente omogenee.</w:t>
      </w:r>
    </w:p>
    <w:p w14:paraId="7F5BA97A" w14:textId="77777777" w:rsidR="0089509E" w:rsidRDefault="0089509E" w:rsidP="0089509E">
      <w:pPr>
        <w:shd w:val="clear" w:color="auto" w:fill="FFFFFF"/>
        <w:spacing w:line="276" w:lineRule="auto"/>
        <w:jc w:val="center"/>
        <w:textAlignment w:val="baseline"/>
        <w:rPr>
          <w:rFonts w:ascii="Calibri" w:eastAsia="Times New Roman" w:hAnsi="Calibri" w:cs="Arial"/>
          <w:b/>
          <w:bCs/>
          <w:sz w:val="22"/>
          <w:szCs w:val="22"/>
          <w:lang w:eastAsia="it-IT"/>
        </w:rPr>
      </w:pPr>
    </w:p>
    <w:p w14:paraId="7A81B011" w14:textId="77777777" w:rsidR="00C56265" w:rsidRDefault="0089509E" w:rsidP="0089509E">
      <w:pPr>
        <w:shd w:val="clear" w:color="auto" w:fill="FFFFFF"/>
        <w:spacing w:line="276" w:lineRule="auto"/>
        <w:jc w:val="center"/>
        <w:textAlignment w:val="baseline"/>
        <w:rPr>
          <w:rFonts w:ascii="Calibri" w:eastAsia="Times New Roman" w:hAnsi="Calibri" w:cs="Arial"/>
          <w:b/>
          <w:bCs/>
          <w:sz w:val="22"/>
          <w:szCs w:val="22"/>
          <w:lang w:eastAsia="it-IT"/>
        </w:rPr>
      </w:pPr>
      <w:r>
        <w:rPr>
          <w:rFonts w:ascii="Calibri" w:eastAsia="Times New Roman" w:hAnsi="Calibri" w:cs="Arial"/>
          <w:b/>
          <w:bCs/>
          <w:sz w:val="22"/>
          <w:szCs w:val="22"/>
          <w:lang w:eastAsia="it-IT"/>
        </w:rPr>
        <w:t>GLOSSARIO DELLE ENTRATE</w:t>
      </w:r>
    </w:p>
    <w:p w14:paraId="5C4C7B07" w14:textId="77777777" w:rsidR="0089509E" w:rsidRDefault="0089509E" w:rsidP="0089509E">
      <w:pPr>
        <w:shd w:val="clear" w:color="auto" w:fill="FFFFFF"/>
        <w:spacing w:line="276" w:lineRule="auto"/>
        <w:jc w:val="center"/>
        <w:textAlignment w:val="baseline"/>
        <w:rPr>
          <w:rFonts w:asciiTheme="minorHAnsi" w:hAnsiTheme="minorHAnsi"/>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3223"/>
        <w:gridCol w:w="7121"/>
      </w:tblGrid>
      <w:tr w:rsidR="0089509E" w:rsidRPr="003C4B65" w14:paraId="27B337BD" w14:textId="77777777" w:rsidTr="007C45E9">
        <w:trPr>
          <w:trHeight w:val="172"/>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8A94F" w14:textId="77777777" w:rsidR="0089509E" w:rsidRPr="009854B1" w:rsidRDefault="0089509E"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VOCI DI ENTRATA</w:t>
            </w:r>
          </w:p>
        </w:tc>
        <w:tc>
          <w:tcPr>
            <w:tcW w:w="3442" w:type="pct"/>
            <w:vMerge w:val="restart"/>
            <w:tcBorders>
              <w:top w:val="single" w:sz="4" w:space="0" w:color="auto"/>
              <w:left w:val="nil"/>
              <w:right w:val="single" w:sz="4" w:space="0" w:color="auto"/>
            </w:tcBorders>
            <w:shd w:val="clear" w:color="auto" w:fill="auto"/>
            <w:noWrap/>
            <w:vAlign w:val="center"/>
            <w:hideMark/>
          </w:tcPr>
          <w:p w14:paraId="36243FE0" w14:textId="77777777" w:rsidR="0089509E" w:rsidRPr="009854B1" w:rsidRDefault="0089509E"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DESCRIZIONE</w:t>
            </w:r>
          </w:p>
        </w:tc>
      </w:tr>
      <w:tr w:rsidR="0089509E" w:rsidRPr="003C4B65" w14:paraId="5FAFBDD8" w14:textId="77777777" w:rsidTr="007C45E9">
        <w:trPr>
          <w:trHeight w:val="70"/>
          <w:jc w:val="center"/>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216E0C74" w14:textId="77777777" w:rsidR="0089509E" w:rsidRPr="009854B1" w:rsidRDefault="0089509E"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ENTRATE CORRENTI</w:t>
            </w:r>
          </w:p>
        </w:tc>
        <w:tc>
          <w:tcPr>
            <w:tcW w:w="3442" w:type="pct"/>
            <w:vMerge/>
            <w:tcBorders>
              <w:left w:val="nil"/>
              <w:bottom w:val="single" w:sz="4" w:space="0" w:color="auto"/>
              <w:right w:val="single" w:sz="4" w:space="0" w:color="auto"/>
            </w:tcBorders>
            <w:shd w:val="clear" w:color="auto" w:fill="auto"/>
            <w:noWrap/>
            <w:vAlign w:val="center"/>
            <w:hideMark/>
          </w:tcPr>
          <w:p w14:paraId="15E079DD" w14:textId="77777777" w:rsidR="0089509E" w:rsidRPr="009854B1" w:rsidRDefault="0089509E" w:rsidP="007345F1">
            <w:pPr>
              <w:jc w:val="center"/>
              <w:rPr>
                <w:rFonts w:ascii="Calibri" w:eastAsia="Times New Roman" w:hAnsi="Calibri" w:cs="Arial"/>
                <w:b/>
                <w:bCs/>
                <w:sz w:val="22"/>
                <w:szCs w:val="22"/>
                <w:lang w:eastAsia="it-IT"/>
              </w:rPr>
            </w:pPr>
          </w:p>
        </w:tc>
      </w:tr>
      <w:tr w:rsidR="003C4B65" w:rsidRPr="003C4B65" w14:paraId="76242D6D" w14:textId="77777777" w:rsidTr="00434622">
        <w:trPr>
          <w:trHeight w:val="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7412E7E6"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1. Entrate tributarie</w:t>
            </w:r>
          </w:p>
        </w:tc>
        <w:tc>
          <w:tcPr>
            <w:tcW w:w="3442" w:type="pct"/>
            <w:tcBorders>
              <w:top w:val="nil"/>
              <w:left w:val="nil"/>
              <w:bottom w:val="single" w:sz="4" w:space="0" w:color="000000"/>
              <w:right w:val="single" w:sz="4" w:space="0" w:color="000000"/>
            </w:tcBorders>
            <w:shd w:val="clear" w:color="auto" w:fill="auto"/>
            <w:hideMark/>
          </w:tcPr>
          <w:p w14:paraId="145759FE"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 xml:space="preserve">Incassi tributari aventi natura di prelievo obbligatorio. </w:t>
            </w:r>
          </w:p>
        </w:tc>
      </w:tr>
      <w:tr w:rsidR="003C4B65" w:rsidRPr="003C4B65" w14:paraId="4CC3EF0E" w14:textId="77777777" w:rsidTr="00434622">
        <w:trPr>
          <w:trHeight w:val="23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64EFABBA"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2. Entrate da redditi da capitale</w:t>
            </w:r>
          </w:p>
        </w:tc>
        <w:tc>
          <w:tcPr>
            <w:tcW w:w="3442" w:type="pct"/>
            <w:tcBorders>
              <w:top w:val="nil"/>
              <w:left w:val="nil"/>
              <w:bottom w:val="single" w:sz="4" w:space="0" w:color="000000"/>
              <w:right w:val="single" w:sz="4" w:space="0" w:color="000000"/>
            </w:tcBorders>
            <w:shd w:val="clear" w:color="auto" w:fill="auto"/>
            <w:hideMark/>
          </w:tcPr>
          <w:p w14:paraId="599BE598"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Entrate ricevute dai detentori di strumenti finanziari (titoli, azioni) o di</w:t>
            </w:r>
            <w:r w:rsidRPr="009854B1">
              <w:rPr>
                <w:rFonts w:ascii="Calibri" w:eastAsia="Times New Roman" w:hAnsi="Calibri" w:cs="Arial"/>
                <w:sz w:val="22"/>
                <w:szCs w:val="22"/>
                <w:lang w:eastAsia="it-IT"/>
              </w:rPr>
              <w:br/>
              <w:t>attivi non finanziari (terreni, immobili) derivanti dall’aver finanziato terze</w:t>
            </w:r>
            <w:r w:rsidRPr="009854B1">
              <w:rPr>
                <w:rFonts w:ascii="Calibri" w:eastAsia="Times New Roman" w:hAnsi="Calibri" w:cs="Arial"/>
                <w:sz w:val="22"/>
                <w:szCs w:val="22"/>
                <w:lang w:eastAsia="it-IT"/>
              </w:rPr>
              <w:br/>
              <w:t>parti o aver messo loro a disposizione asset non finanziari. Si possono</w:t>
            </w:r>
            <w:r w:rsidRPr="009854B1">
              <w:rPr>
                <w:rFonts w:ascii="Calibri" w:eastAsia="Times New Roman" w:hAnsi="Calibri" w:cs="Arial"/>
                <w:sz w:val="22"/>
                <w:szCs w:val="22"/>
                <w:lang w:eastAsia="it-IT"/>
              </w:rPr>
              <w:br/>
              <w:t>distinguere al loro interno interessi, dividendi e rendite.</w:t>
            </w:r>
          </w:p>
        </w:tc>
      </w:tr>
      <w:tr w:rsidR="003C4B65" w:rsidRPr="003C4B65" w14:paraId="24D64C5E" w14:textId="77777777" w:rsidTr="00434622">
        <w:trPr>
          <w:trHeight w:val="841"/>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13B6C913"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3. Entrate da contributi sociali</w:t>
            </w:r>
          </w:p>
        </w:tc>
        <w:tc>
          <w:tcPr>
            <w:tcW w:w="3442" w:type="pct"/>
            <w:tcBorders>
              <w:top w:val="nil"/>
              <w:left w:val="nil"/>
              <w:bottom w:val="single" w:sz="4" w:space="0" w:color="000000"/>
              <w:right w:val="single" w:sz="4" w:space="0" w:color="000000"/>
            </w:tcBorders>
            <w:shd w:val="clear" w:color="auto" w:fill="auto"/>
            <w:hideMark/>
          </w:tcPr>
          <w:p w14:paraId="664CA156"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Trasferimenti alle famiglie volti a sollevarle da una serie di rischi o necessità</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(malattia, invalidità, vecchiaia, maternità, disoccupazione, ecc.); tali</w:t>
            </w:r>
            <w:r w:rsidRPr="009854B1">
              <w:rPr>
                <w:rFonts w:ascii="Calibri" w:eastAsia="Times New Roman" w:hAnsi="Calibri" w:cs="Arial"/>
                <w:sz w:val="22"/>
                <w:szCs w:val="22"/>
                <w:lang w:eastAsia="it-IT"/>
              </w:rPr>
              <w:br/>
              <w:t>trasferimenti sono effettuati soprattutto attraverso schemi collettivi di</w:t>
            </w:r>
            <w:r w:rsidRPr="009854B1">
              <w:rPr>
                <w:rFonts w:ascii="Calibri" w:eastAsia="Times New Roman" w:hAnsi="Calibri" w:cs="Arial"/>
                <w:sz w:val="22"/>
                <w:szCs w:val="22"/>
                <w:lang w:eastAsia="it-IT"/>
              </w:rPr>
              <w:br/>
              <w:t>natura previdenziale o assistenziale.</w:t>
            </w:r>
          </w:p>
        </w:tc>
      </w:tr>
      <w:tr w:rsidR="003C4B65" w:rsidRPr="003C4B65" w14:paraId="6BC8377C" w14:textId="77777777" w:rsidTr="00434622">
        <w:trPr>
          <w:trHeight w:val="474"/>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4C3C69BF"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4. Entrate da vendita di beni e servizi</w:t>
            </w:r>
          </w:p>
        </w:tc>
        <w:tc>
          <w:tcPr>
            <w:tcW w:w="3442" w:type="pct"/>
            <w:tcBorders>
              <w:top w:val="nil"/>
              <w:left w:val="nil"/>
              <w:bottom w:val="single" w:sz="4" w:space="0" w:color="000000"/>
              <w:right w:val="single" w:sz="4" w:space="0" w:color="000000"/>
            </w:tcBorders>
            <w:shd w:val="clear" w:color="auto" w:fill="auto"/>
            <w:hideMark/>
          </w:tcPr>
          <w:p w14:paraId="44B195AF"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Rappresentano il controvalore della produzione di beni e servizi ceduti al</w:t>
            </w:r>
            <w:r w:rsidRPr="009854B1">
              <w:rPr>
                <w:rFonts w:ascii="Calibri" w:eastAsia="Times New Roman" w:hAnsi="Calibri" w:cs="Arial"/>
                <w:sz w:val="22"/>
                <w:szCs w:val="22"/>
                <w:lang w:eastAsia="it-IT"/>
              </w:rPr>
              <w:br/>
              <w:t xml:space="preserve">mercato. </w:t>
            </w:r>
          </w:p>
        </w:tc>
      </w:tr>
      <w:tr w:rsidR="003C4B65" w:rsidRPr="003C4B65" w14:paraId="0CA2C9EF" w14:textId="77777777" w:rsidTr="00434622">
        <w:trPr>
          <w:trHeight w:val="1757"/>
          <w:jc w:val="center"/>
        </w:trPr>
        <w:tc>
          <w:tcPr>
            <w:tcW w:w="1558" w:type="pct"/>
            <w:tcBorders>
              <w:top w:val="nil"/>
              <w:left w:val="single" w:sz="4" w:space="0" w:color="000000"/>
              <w:bottom w:val="single" w:sz="4" w:space="0" w:color="auto"/>
              <w:right w:val="single" w:sz="4" w:space="0" w:color="000000"/>
            </w:tcBorders>
            <w:shd w:val="clear" w:color="auto" w:fill="auto"/>
            <w:noWrap/>
            <w:hideMark/>
          </w:tcPr>
          <w:p w14:paraId="7B0572E0"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5. Entrate da trasferimenti in conto corrente, distinte in:</w:t>
            </w:r>
          </w:p>
        </w:tc>
        <w:tc>
          <w:tcPr>
            <w:tcW w:w="3442" w:type="pct"/>
            <w:tcBorders>
              <w:top w:val="nil"/>
              <w:left w:val="nil"/>
              <w:bottom w:val="single" w:sz="4" w:space="0" w:color="auto"/>
              <w:right w:val="single" w:sz="4" w:space="0" w:color="000000"/>
            </w:tcBorders>
            <w:shd w:val="clear" w:color="auto" w:fill="auto"/>
            <w:hideMark/>
          </w:tcPr>
          <w:p w14:paraId="1B14EBB2"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 xml:space="preserve">Incassi derivanti da erogazioni unilaterali, ossia senza contropartita, aventi natura ricorrente e non destinati a finanziare spesa in conto capitale. </w:t>
            </w:r>
            <w:r w:rsidRPr="009854B1">
              <w:rPr>
                <w:rFonts w:ascii="Calibri" w:eastAsia="Times New Roman" w:hAnsi="Calibri" w:cs="Arial"/>
                <w:b/>
                <w:bCs/>
                <w:sz w:val="22"/>
                <w:szCs w:val="22"/>
                <w:u w:val="single"/>
                <w:lang w:eastAsia="it-IT"/>
              </w:rPr>
              <w:t>Le rispettive entrate vanno collocate nella voce specificamente dedicata ai soggetti che materialmente trasferiscono le risorse. Ad esempio, nella voce '</w:t>
            </w:r>
            <w:proofErr w:type="spellStart"/>
            <w:r w:rsidRPr="009854B1">
              <w:rPr>
                <w:rFonts w:ascii="Calibri" w:eastAsia="Times New Roman" w:hAnsi="Calibri" w:cs="Arial"/>
                <w:b/>
                <w:bCs/>
                <w:sz w:val="22"/>
                <w:szCs w:val="22"/>
                <w:u w:val="single"/>
                <w:lang w:eastAsia="it-IT"/>
              </w:rPr>
              <w:t>Trasf</w:t>
            </w:r>
            <w:proofErr w:type="spellEnd"/>
            <w:r w:rsidRPr="009854B1">
              <w:rPr>
                <w:rFonts w:ascii="Calibri" w:eastAsia="Times New Roman" w:hAnsi="Calibri" w:cs="Arial"/>
                <w:b/>
                <w:bCs/>
                <w:sz w:val="22"/>
                <w:szCs w:val="22"/>
                <w:u w:val="single"/>
                <w:lang w:eastAsia="it-IT"/>
              </w:rPr>
              <w:t>. in conto corrente da Unione Europea e altre istituzioni estere', dovranno essere inseriti esclusivamente i trasferimenti direttamente erogati dalla Commissione Europea, o da altre Agenzie comunitarie. Al contrario, i fondi europei trasferiti da altri Enti (Regione, Ministeri, Imprese Pubbliche nazionali, altri organismi intermedi o Lead partner), dovranno essere inseriti nella corrisponden</w:t>
            </w:r>
            <w:r w:rsidR="009854B1">
              <w:rPr>
                <w:rFonts w:ascii="Calibri" w:eastAsia="Times New Roman" w:hAnsi="Calibri" w:cs="Arial"/>
                <w:b/>
                <w:bCs/>
                <w:sz w:val="22"/>
                <w:szCs w:val="22"/>
                <w:u w:val="single"/>
                <w:lang w:eastAsia="it-IT"/>
              </w:rPr>
              <w:t>te tipologia di trasferimento.</w:t>
            </w:r>
          </w:p>
        </w:tc>
      </w:tr>
      <w:tr w:rsidR="003C4B65" w:rsidRPr="003C4B65" w14:paraId="50483480" w14:textId="77777777" w:rsidTr="00434622">
        <w:trPr>
          <w:trHeight w:val="3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5C298720"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Unione Europea e altre istituzioni estere</w:t>
            </w:r>
          </w:p>
        </w:tc>
        <w:tc>
          <w:tcPr>
            <w:tcW w:w="34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031C465" w14:textId="77777777" w:rsidR="003C4B65" w:rsidRPr="00434622" w:rsidRDefault="009854B1"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3C4B65" w:rsidRPr="00434622">
              <w:rPr>
                <w:rFonts w:ascii="Calibri" w:eastAsia="Times New Roman" w:hAnsi="Calibri" w:cs="Arial"/>
                <w:b/>
                <w:sz w:val="22"/>
                <w:szCs w:val="22"/>
                <w:lang w:eastAsia="it-IT"/>
              </w:rPr>
              <w:t>edi descrizione voce di entrata corrente n. 5</w:t>
            </w:r>
          </w:p>
        </w:tc>
      </w:tr>
      <w:tr w:rsidR="003C4B65" w:rsidRPr="003C4B65" w14:paraId="5C650927" w14:textId="77777777" w:rsidTr="00434622">
        <w:trPr>
          <w:trHeight w:val="3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7D12FC38"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famiglie e istituzioni sociali</w:t>
            </w:r>
          </w:p>
        </w:tc>
        <w:tc>
          <w:tcPr>
            <w:tcW w:w="3442" w:type="pct"/>
            <w:vMerge/>
            <w:tcBorders>
              <w:top w:val="single" w:sz="4" w:space="0" w:color="auto"/>
              <w:left w:val="single" w:sz="4" w:space="0" w:color="auto"/>
              <w:bottom w:val="single" w:sz="4" w:space="0" w:color="auto"/>
              <w:right w:val="single" w:sz="4" w:space="0" w:color="auto"/>
            </w:tcBorders>
            <w:hideMark/>
          </w:tcPr>
          <w:p w14:paraId="5C62FBDC"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42DAAE1E" w14:textId="77777777" w:rsidTr="00434622">
        <w:trPr>
          <w:trHeight w:val="37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2B1CFC07"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imprese private</w:t>
            </w:r>
          </w:p>
        </w:tc>
        <w:tc>
          <w:tcPr>
            <w:tcW w:w="3442" w:type="pct"/>
            <w:vMerge/>
            <w:tcBorders>
              <w:top w:val="single" w:sz="4" w:space="0" w:color="auto"/>
              <w:left w:val="single" w:sz="4" w:space="0" w:color="auto"/>
              <w:bottom w:val="single" w:sz="4" w:space="0" w:color="auto"/>
              <w:right w:val="single" w:sz="4" w:space="0" w:color="auto"/>
            </w:tcBorders>
            <w:hideMark/>
          </w:tcPr>
          <w:p w14:paraId="11FD70BD"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4B19C96" w14:textId="77777777" w:rsidTr="00434622">
        <w:trPr>
          <w:trHeight w:val="4667"/>
          <w:jc w:val="center"/>
        </w:trPr>
        <w:tc>
          <w:tcPr>
            <w:tcW w:w="1558" w:type="pct"/>
            <w:tcBorders>
              <w:top w:val="single" w:sz="4" w:space="0" w:color="auto"/>
              <w:left w:val="single" w:sz="4" w:space="0" w:color="000000"/>
              <w:bottom w:val="single" w:sz="4" w:space="0" w:color="000000"/>
              <w:right w:val="single" w:sz="4" w:space="0" w:color="000000"/>
            </w:tcBorders>
            <w:shd w:val="clear" w:color="auto" w:fill="auto"/>
            <w:noWrap/>
            <w:hideMark/>
          </w:tcPr>
          <w:p w14:paraId="5A569C39"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lastRenderedPageBreak/>
              <w:t xml:space="preserve">    5.4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imprese pubbliche nazionali</w:t>
            </w:r>
          </w:p>
        </w:tc>
        <w:tc>
          <w:tcPr>
            <w:tcW w:w="3442" w:type="pct"/>
            <w:tcBorders>
              <w:top w:val="single" w:sz="4" w:space="0" w:color="auto"/>
              <w:left w:val="nil"/>
              <w:bottom w:val="single" w:sz="4" w:space="0" w:color="000000"/>
              <w:right w:val="single" w:sz="4" w:space="0" w:color="000000"/>
            </w:tcBorders>
            <w:shd w:val="clear" w:color="auto" w:fill="auto"/>
            <w:hideMark/>
          </w:tcPr>
          <w:p w14:paraId="47B4230E" w14:textId="77777777" w:rsidR="003C4B65" w:rsidRPr="009854B1" w:rsidRDefault="003C4B65" w:rsidP="00434622">
            <w:pPr>
              <w:rPr>
                <w:rFonts w:ascii="Calibri" w:eastAsia="Times New Roman" w:hAnsi="Calibri" w:cs="Arial"/>
                <w:sz w:val="22"/>
                <w:szCs w:val="22"/>
                <w:lang w:eastAsia="it-IT"/>
              </w:rPr>
            </w:pPr>
            <w:r w:rsidRPr="009854B1">
              <w:rPr>
                <w:rFonts w:ascii="Calibri" w:eastAsia="Times New Roman" w:hAnsi="Calibri" w:cs="Arial"/>
                <w:sz w:val="22"/>
                <w:szCs w:val="22"/>
                <w:lang w:eastAsia="it-IT"/>
              </w:rPr>
              <w:t xml:space="preserve"> -Azienda dei Monopoli di Stato (dal 2013 confluito nell’Agenzia delle Dogane</w:t>
            </w:r>
            <w:r w:rsidRPr="009854B1">
              <w:rPr>
                <w:rFonts w:ascii="Calibri" w:eastAsia="Times New Roman" w:hAnsi="Calibri" w:cs="Arial"/>
                <w:sz w:val="22"/>
                <w:szCs w:val="22"/>
                <w:lang w:eastAsia="it-IT"/>
              </w:rPr>
              <w:br/>
              <w:t>e dei Monopoli)</w:t>
            </w:r>
            <w:r w:rsidRPr="009854B1">
              <w:rPr>
                <w:rFonts w:ascii="Calibri" w:eastAsia="Times New Roman" w:hAnsi="Calibri" w:cs="Arial"/>
                <w:sz w:val="22"/>
                <w:szCs w:val="22"/>
                <w:lang w:eastAsia="it-IT"/>
              </w:rPr>
              <w:br/>
              <w:t>- Cassa Depositi e Prestiti (dal 2004, anno di trasformazione dell’Ente in</w:t>
            </w:r>
            <w:r w:rsidRPr="009854B1">
              <w:rPr>
                <w:rFonts w:ascii="Calibri" w:eastAsia="Times New Roman" w:hAnsi="Calibri" w:cs="Arial"/>
                <w:sz w:val="22"/>
                <w:szCs w:val="22"/>
                <w:lang w:eastAsia="it-IT"/>
              </w:rPr>
              <w:br/>
              <w:t>S.p.A.)</w:t>
            </w:r>
            <w:r w:rsidRPr="009854B1">
              <w:rPr>
                <w:rFonts w:ascii="Calibri" w:eastAsia="Times New Roman" w:hAnsi="Calibri" w:cs="Arial"/>
                <w:sz w:val="22"/>
                <w:szCs w:val="22"/>
                <w:lang w:eastAsia="it-IT"/>
              </w:rPr>
              <w:br/>
              <w:t>- Ente Tabacchi Italiano (fino al 2003, anno della completa privatizzazione)</w:t>
            </w:r>
            <w:r w:rsidRPr="009854B1">
              <w:rPr>
                <w:rFonts w:ascii="Calibri" w:eastAsia="Times New Roman" w:hAnsi="Calibri" w:cs="Arial"/>
                <w:sz w:val="22"/>
                <w:szCs w:val="22"/>
                <w:lang w:eastAsia="it-IT"/>
              </w:rPr>
              <w:br/>
              <w:t>- ENEL</w:t>
            </w:r>
            <w:r w:rsidRPr="009854B1">
              <w:rPr>
                <w:rFonts w:ascii="Calibri" w:eastAsia="Times New Roman" w:hAnsi="Calibri" w:cs="Arial"/>
                <w:sz w:val="22"/>
                <w:szCs w:val="22"/>
                <w:lang w:eastAsia="it-IT"/>
              </w:rPr>
              <w:br/>
              <w:t xml:space="preserve">- Poste Italiane </w:t>
            </w:r>
            <w:proofErr w:type="spellStart"/>
            <w:r w:rsidRPr="009854B1">
              <w:rPr>
                <w:rFonts w:ascii="Calibri" w:eastAsia="Times New Roman" w:hAnsi="Calibri" w:cs="Arial"/>
                <w:sz w:val="22"/>
                <w:szCs w:val="22"/>
                <w:lang w:eastAsia="it-IT"/>
              </w:rPr>
              <w:t>S.p.A</w:t>
            </w:r>
            <w:proofErr w:type="spellEnd"/>
            <w:r w:rsidRPr="009854B1">
              <w:rPr>
                <w:rFonts w:ascii="Calibri" w:eastAsia="Times New Roman" w:hAnsi="Calibri" w:cs="Arial"/>
                <w:sz w:val="22"/>
                <w:szCs w:val="22"/>
                <w:lang w:eastAsia="it-IT"/>
              </w:rPr>
              <w:br/>
              <w:t>- Ferrovie dello Stato</w:t>
            </w:r>
            <w:r w:rsidRPr="009854B1">
              <w:rPr>
                <w:rFonts w:ascii="Calibri" w:eastAsia="Times New Roman" w:hAnsi="Calibri" w:cs="Arial"/>
                <w:sz w:val="22"/>
                <w:szCs w:val="22"/>
                <w:lang w:eastAsia="it-IT"/>
              </w:rPr>
              <w:br/>
              <w:t>- ENI</w:t>
            </w:r>
            <w:r w:rsidRPr="009854B1">
              <w:rPr>
                <w:rFonts w:ascii="Calibri" w:eastAsia="Times New Roman" w:hAnsi="Calibri" w:cs="Arial"/>
                <w:sz w:val="22"/>
                <w:szCs w:val="22"/>
                <w:lang w:eastAsia="it-IT"/>
              </w:rPr>
              <w:br/>
              <w:t>- ACI</w:t>
            </w:r>
            <w:r w:rsidRPr="009854B1">
              <w:rPr>
                <w:rFonts w:ascii="Calibri" w:eastAsia="Times New Roman" w:hAnsi="Calibri" w:cs="Arial"/>
                <w:sz w:val="22"/>
                <w:szCs w:val="22"/>
                <w:lang w:eastAsia="it-IT"/>
              </w:rPr>
              <w:br/>
              <w:t>- Aziende ex IRI (Aeroporti di Roma, Alitalia, Finmeccanica, Fintecna, RAI)</w:t>
            </w:r>
            <w:r w:rsidRPr="009854B1">
              <w:rPr>
                <w:rFonts w:ascii="Calibri" w:eastAsia="Times New Roman" w:hAnsi="Calibri" w:cs="Arial"/>
                <w:sz w:val="22"/>
                <w:szCs w:val="22"/>
                <w:lang w:eastAsia="it-IT"/>
              </w:rPr>
              <w:br/>
              <w:t>- ENAV (dal 2001, anno di trasformazione dell’Ente in S.p.A.)</w:t>
            </w:r>
            <w:r w:rsidRPr="009854B1">
              <w:rPr>
                <w:rFonts w:ascii="Calibri" w:eastAsia="Times New Roman" w:hAnsi="Calibri" w:cs="Arial"/>
                <w:sz w:val="22"/>
                <w:szCs w:val="22"/>
                <w:lang w:eastAsia="it-IT"/>
              </w:rPr>
              <w:br/>
              <w:t>- GSE (Gestore Servizi Elettrici, ex GRTN)</w:t>
            </w:r>
            <w:r w:rsidRPr="009854B1">
              <w:rPr>
                <w:rFonts w:ascii="Calibri" w:eastAsia="Times New Roman" w:hAnsi="Calibri" w:cs="Arial"/>
                <w:sz w:val="22"/>
                <w:szCs w:val="22"/>
                <w:lang w:eastAsia="it-IT"/>
              </w:rPr>
              <w:br/>
              <w:t>- Terna Rete Elettrica Nazionale</w:t>
            </w:r>
            <w:r w:rsidRPr="009854B1">
              <w:rPr>
                <w:rFonts w:ascii="Calibri" w:eastAsia="Times New Roman" w:hAnsi="Calibri" w:cs="Arial"/>
                <w:sz w:val="22"/>
                <w:szCs w:val="22"/>
                <w:lang w:eastAsia="it-IT"/>
              </w:rPr>
              <w:br/>
              <w:t>- Infrastrutture S.p.A. (fino al 2005: dal 2006 è incorporata in Cassa</w:t>
            </w:r>
            <w:r w:rsidRPr="009854B1">
              <w:rPr>
                <w:rFonts w:ascii="Calibri" w:eastAsia="Times New Roman" w:hAnsi="Calibri" w:cs="Arial"/>
                <w:sz w:val="22"/>
                <w:szCs w:val="22"/>
                <w:lang w:eastAsia="it-IT"/>
              </w:rPr>
              <w:br/>
              <w:t>Depositi e Prestiti)</w:t>
            </w:r>
            <w:r w:rsidRPr="009854B1">
              <w:rPr>
                <w:rFonts w:ascii="Calibri" w:eastAsia="Times New Roman" w:hAnsi="Calibri" w:cs="Arial"/>
                <w:sz w:val="22"/>
                <w:szCs w:val="22"/>
                <w:lang w:eastAsia="it-IT"/>
              </w:rPr>
              <w:br/>
              <w:t>- Italia Lavoro</w:t>
            </w:r>
            <w:r w:rsidRPr="009854B1">
              <w:rPr>
                <w:rFonts w:ascii="Calibri" w:eastAsia="Times New Roman" w:hAnsi="Calibri" w:cs="Arial"/>
                <w:sz w:val="22"/>
                <w:szCs w:val="22"/>
                <w:lang w:eastAsia="it-IT"/>
              </w:rPr>
              <w:br/>
              <w:t>- SIMEST (Società Italiana per le Imprese all’Estero)</w:t>
            </w:r>
            <w:r w:rsidRPr="009854B1">
              <w:rPr>
                <w:rFonts w:ascii="Calibri" w:eastAsia="Times New Roman" w:hAnsi="Calibri" w:cs="Arial"/>
                <w:sz w:val="22"/>
                <w:szCs w:val="22"/>
                <w:lang w:eastAsia="it-IT"/>
              </w:rPr>
              <w:br/>
              <w:t>- SOGESID (Società Gestione Impianti Idrici)</w:t>
            </w:r>
            <w:r w:rsidRPr="009854B1">
              <w:rPr>
                <w:rFonts w:ascii="Calibri" w:eastAsia="Times New Roman" w:hAnsi="Calibri" w:cs="Arial"/>
                <w:sz w:val="22"/>
                <w:szCs w:val="22"/>
                <w:lang w:eastAsia="it-IT"/>
              </w:rPr>
              <w:br/>
              <w:t>- SOGIN (Società Gestione Impianti Nucleari)</w:t>
            </w:r>
            <w:r w:rsidRPr="009854B1">
              <w:rPr>
                <w:rFonts w:ascii="Calibri" w:eastAsia="Times New Roman" w:hAnsi="Calibri" w:cs="Arial"/>
                <w:sz w:val="22"/>
                <w:szCs w:val="22"/>
                <w:lang w:eastAsia="it-IT"/>
              </w:rPr>
              <w:br/>
              <w:t>- Invitalia (ex Sviluppo Italia)</w:t>
            </w:r>
          </w:p>
        </w:tc>
      </w:tr>
      <w:tr w:rsidR="003C4B65" w:rsidRPr="003C4B65" w14:paraId="79ADF122" w14:textId="77777777" w:rsidTr="00434622">
        <w:trPr>
          <w:trHeight w:val="50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0CD111CB"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enti pubblici, distinti in:</w:t>
            </w:r>
          </w:p>
        </w:tc>
        <w:tc>
          <w:tcPr>
            <w:tcW w:w="3442" w:type="pct"/>
            <w:vMerge w:val="restart"/>
            <w:tcBorders>
              <w:top w:val="nil"/>
              <w:left w:val="single" w:sz="4" w:space="0" w:color="000000"/>
              <w:bottom w:val="single" w:sz="4" w:space="0" w:color="000000"/>
              <w:right w:val="single" w:sz="4" w:space="0" w:color="000000"/>
            </w:tcBorders>
            <w:shd w:val="clear" w:color="auto" w:fill="auto"/>
            <w:noWrap/>
            <w:hideMark/>
          </w:tcPr>
          <w:p w14:paraId="4BA4506B" w14:textId="77777777" w:rsidR="003C4B65" w:rsidRPr="00434622" w:rsidRDefault="009854B1"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3C4B65" w:rsidRPr="00434622">
              <w:rPr>
                <w:rFonts w:ascii="Calibri" w:eastAsia="Times New Roman" w:hAnsi="Calibri" w:cs="Arial"/>
                <w:b/>
                <w:sz w:val="22"/>
                <w:szCs w:val="22"/>
                <w:lang w:eastAsia="it-IT"/>
              </w:rPr>
              <w:t>edi descrizione voce di entrata corrente n. 5</w:t>
            </w:r>
          </w:p>
        </w:tc>
      </w:tr>
      <w:tr w:rsidR="003C4B65" w:rsidRPr="003C4B65" w14:paraId="6AF374C4"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2108A482"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Stato</w:t>
            </w:r>
          </w:p>
        </w:tc>
        <w:tc>
          <w:tcPr>
            <w:tcW w:w="3442" w:type="pct"/>
            <w:vMerge/>
            <w:tcBorders>
              <w:top w:val="nil"/>
              <w:left w:val="single" w:sz="4" w:space="0" w:color="000000"/>
              <w:bottom w:val="single" w:sz="4" w:space="0" w:color="000000"/>
              <w:right w:val="single" w:sz="4" w:space="0" w:color="000000"/>
            </w:tcBorders>
            <w:hideMark/>
          </w:tcPr>
          <w:p w14:paraId="639BCC24"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71819003"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18D36E6E"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5.5.2 Tributi devoluti da altre Amministrazioni pubbliche</w:t>
            </w:r>
          </w:p>
        </w:tc>
        <w:tc>
          <w:tcPr>
            <w:tcW w:w="3442" w:type="pct"/>
            <w:vMerge/>
            <w:tcBorders>
              <w:top w:val="nil"/>
              <w:left w:val="single" w:sz="4" w:space="0" w:color="000000"/>
              <w:bottom w:val="single" w:sz="4" w:space="0" w:color="000000"/>
              <w:right w:val="single" w:sz="4" w:space="0" w:color="000000"/>
            </w:tcBorders>
            <w:hideMark/>
          </w:tcPr>
          <w:p w14:paraId="024022BE"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40971E26"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127EBDC1"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altri enti dell'amministrazione centrale</w:t>
            </w:r>
          </w:p>
        </w:tc>
        <w:tc>
          <w:tcPr>
            <w:tcW w:w="3442" w:type="pct"/>
            <w:vMerge/>
            <w:tcBorders>
              <w:top w:val="nil"/>
              <w:left w:val="single" w:sz="4" w:space="0" w:color="000000"/>
              <w:bottom w:val="single" w:sz="4" w:space="0" w:color="000000"/>
              <w:right w:val="single" w:sz="4" w:space="0" w:color="000000"/>
            </w:tcBorders>
            <w:hideMark/>
          </w:tcPr>
          <w:p w14:paraId="2342467E"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16EC4A5" w14:textId="77777777" w:rsidTr="00434622">
        <w:trPr>
          <w:trHeight w:val="78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006C7180"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Regioni e Province Autonome</w:t>
            </w:r>
          </w:p>
        </w:tc>
        <w:tc>
          <w:tcPr>
            <w:tcW w:w="3442" w:type="pct"/>
            <w:vMerge/>
            <w:tcBorders>
              <w:top w:val="nil"/>
              <w:left w:val="single" w:sz="4" w:space="0" w:color="000000"/>
              <w:bottom w:val="single" w:sz="4" w:space="0" w:color="000000"/>
              <w:right w:val="single" w:sz="4" w:space="0" w:color="000000"/>
            </w:tcBorders>
            <w:hideMark/>
          </w:tcPr>
          <w:p w14:paraId="5B4AD8DF"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5FA51A5E"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717AC6E1"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Province e Città metropolitane</w:t>
            </w:r>
          </w:p>
        </w:tc>
        <w:tc>
          <w:tcPr>
            <w:tcW w:w="3442" w:type="pct"/>
            <w:vMerge/>
            <w:tcBorders>
              <w:top w:val="nil"/>
              <w:left w:val="single" w:sz="4" w:space="0" w:color="000000"/>
              <w:bottom w:val="single" w:sz="4" w:space="0" w:color="000000"/>
              <w:right w:val="single" w:sz="4" w:space="0" w:color="000000"/>
            </w:tcBorders>
            <w:hideMark/>
          </w:tcPr>
          <w:p w14:paraId="0E2C96E2"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4A7B46B0"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5BF15FD0"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5.5.6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Comuni</w:t>
            </w:r>
          </w:p>
        </w:tc>
        <w:tc>
          <w:tcPr>
            <w:tcW w:w="3442" w:type="pct"/>
            <w:vMerge/>
            <w:tcBorders>
              <w:top w:val="nil"/>
              <w:left w:val="single" w:sz="4" w:space="0" w:color="000000"/>
              <w:bottom w:val="single" w:sz="4" w:space="0" w:color="000000"/>
              <w:right w:val="single" w:sz="4" w:space="0" w:color="000000"/>
            </w:tcBorders>
            <w:hideMark/>
          </w:tcPr>
          <w:p w14:paraId="55F59C55"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329E417" w14:textId="77777777" w:rsidTr="00434622">
        <w:trPr>
          <w:trHeight w:val="78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7653B7A9"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5.5.7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A.S.L., Aziende ospedaliere e IRCCS</w:t>
            </w:r>
          </w:p>
        </w:tc>
        <w:tc>
          <w:tcPr>
            <w:tcW w:w="3442" w:type="pct"/>
            <w:vMerge/>
            <w:tcBorders>
              <w:top w:val="nil"/>
              <w:left w:val="single" w:sz="4" w:space="0" w:color="000000"/>
              <w:bottom w:val="single" w:sz="4" w:space="0" w:color="000000"/>
              <w:right w:val="single" w:sz="4" w:space="0" w:color="000000"/>
            </w:tcBorders>
            <w:hideMark/>
          </w:tcPr>
          <w:p w14:paraId="04B9B38D"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38E74CE" w14:textId="77777777" w:rsidTr="00434622">
        <w:trPr>
          <w:trHeight w:val="37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59202537"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5.5.8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Consorzi e Forme associative</w:t>
            </w:r>
          </w:p>
        </w:tc>
        <w:tc>
          <w:tcPr>
            <w:tcW w:w="3442" w:type="pct"/>
            <w:vMerge/>
            <w:tcBorders>
              <w:top w:val="nil"/>
              <w:left w:val="single" w:sz="4" w:space="0" w:color="000000"/>
              <w:bottom w:val="single" w:sz="4" w:space="0" w:color="000000"/>
              <w:right w:val="single" w:sz="4" w:space="0" w:color="000000"/>
            </w:tcBorders>
            <w:hideMark/>
          </w:tcPr>
          <w:p w14:paraId="4140872C"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7E7DFE2C" w14:textId="77777777" w:rsidTr="00434622">
        <w:trPr>
          <w:trHeight w:val="580"/>
          <w:jc w:val="center"/>
        </w:trPr>
        <w:tc>
          <w:tcPr>
            <w:tcW w:w="1558" w:type="pct"/>
            <w:tcBorders>
              <w:top w:val="nil"/>
              <w:left w:val="single" w:sz="4" w:space="0" w:color="000000"/>
              <w:bottom w:val="single" w:sz="4" w:space="0" w:color="000000"/>
              <w:right w:val="single" w:sz="4" w:space="0" w:color="000000"/>
            </w:tcBorders>
            <w:shd w:val="clear" w:color="auto" w:fill="auto"/>
            <w:hideMark/>
          </w:tcPr>
          <w:p w14:paraId="6B23EA29"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5.5.9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Aziende, Istituzioni, Società e fondazioni                partecipate a livello locale</w:t>
            </w:r>
          </w:p>
        </w:tc>
        <w:tc>
          <w:tcPr>
            <w:tcW w:w="3442" w:type="pct"/>
            <w:vMerge/>
            <w:tcBorders>
              <w:top w:val="nil"/>
              <w:left w:val="single" w:sz="4" w:space="0" w:color="000000"/>
              <w:bottom w:val="single" w:sz="4" w:space="0" w:color="000000"/>
              <w:right w:val="single" w:sz="4" w:space="0" w:color="000000"/>
            </w:tcBorders>
            <w:hideMark/>
          </w:tcPr>
          <w:p w14:paraId="5BDB133D"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CB9B879" w14:textId="77777777" w:rsidTr="00434622">
        <w:trPr>
          <w:trHeight w:val="290"/>
          <w:jc w:val="center"/>
        </w:trPr>
        <w:tc>
          <w:tcPr>
            <w:tcW w:w="1558" w:type="pct"/>
            <w:tcBorders>
              <w:top w:val="nil"/>
              <w:left w:val="single" w:sz="4" w:space="0" w:color="000000"/>
              <w:bottom w:val="single" w:sz="4" w:space="0" w:color="000000"/>
              <w:right w:val="single" w:sz="4" w:space="0" w:color="000000"/>
            </w:tcBorders>
            <w:shd w:val="clear" w:color="auto" w:fill="auto"/>
            <w:hideMark/>
          </w:tcPr>
          <w:p w14:paraId="428CD738"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5.5.10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Comunità Montane e altre Unioni di enti locali</w:t>
            </w:r>
          </w:p>
        </w:tc>
        <w:tc>
          <w:tcPr>
            <w:tcW w:w="3442" w:type="pct"/>
            <w:vMerge/>
            <w:tcBorders>
              <w:top w:val="nil"/>
              <w:left w:val="single" w:sz="4" w:space="0" w:color="000000"/>
              <w:bottom w:val="single" w:sz="4" w:space="0" w:color="000000"/>
              <w:right w:val="single" w:sz="4" w:space="0" w:color="000000"/>
            </w:tcBorders>
            <w:hideMark/>
          </w:tcPr>
          <w:p w14:paraId="3029554A"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1AC47E1" w14:textId="77777777" w:rsidTr="00434622">
        <w:trPr>
          <w:trHeight w:val="29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3BE6C376"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5.5.11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enti dipendenti dalla Regione</w:t>
            </w:r>
          </w:p>
        </w:tc>
        <w:tc>
          <w:tcPr>
            <w:tcW w:w="3442" w:type="pct"/>
            <w:vMerge/>
            <w:tcBorders>
              <w:top w:val="nil"/>
              <w:left w:val="single" w:sz="4" w:space="0" w:color="000000"/>
              <w:bottom w:val="single" w:sz="4" w:space="0" w:color="000000"/>
              <w:right w:val="single" w:sz="4" w:space="0" w:color="000000"/>
            </w:tcBorders>
            <w:hideMark/>
          </w:tcPr>
          <w:p w14:paraId="1EE566FA"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F2ADF42" w14:textId="77777777" w:rsidTr="00FB4F0C">
        <w:trPr>
          <w:trHeight w:val="290"/>
          <w:jc w:val="center"/>
        </w:trPr>
        <w:tc>
          <w:tcPr>
            <w:tcW w:w="1558" w:type="pct"/>
            <w:tcBorders>
              <w:top w:val="nil"/>
              <w:left w:val="single" w:sz="4" w:space="0" w:color="000000"/>
              <w:bottom w:val="single" w:sz="4" w:space="0" w:color="auto"/>
              <w:right w:val="single" w:sz="4" w:space="0" w:color="000000"/>
            </w:tcBorders>
            <w:shd w:val="clear" w:color="auto" w:fill="auto"/>
            <w:noWrap/>
            <w:hideMark/>
          </w:tcPr>
          <w:p w14:paraId="294E7262"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5.5.12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da altri enti dell'Amministrazione locale</w:t>
            </w:r>
          </w:p>
        </w:tc>
        <w:tc>
          <w:tcPr>
            <w:tcW w:w="3442" w:type="pct"/>
            <w:vMerge/>
            <w:tcBorders>
              <w:top w:val="nil"/>
              <w:left w:val="single" w:sz="4" w:space="0" w:color="000000"/>
              <w:bottom w:val="single" w:sz="4" w:space="0" w:color="auto"/>
              <w:right w:val="single" w:sz="4" w:space="0" w:color="000000"/>
            </w:tcBorders>
            <w:hideMark/>
          </w:tcPr>
          <w:p w14:paraId="4186E5CE"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73BD47AA" w14:textId="77777777" w:rsidTr="00FB4F0C">
        <w:trPr>
          <w:trHeight w:val="875"/>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5AC3D57F"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lastRenderedPageBreak/>
              <w:t>6. Poste correttive e compensative delle spese</w:t>
            </w:r>
          </w:p>
        </w:tc>
        <w:tc>
          <w:tcPr>
            <w:tcW w:w="3442" w:type="pct"/>
            <w:tcBorders>
              <w:top w:val="single" w:sz="4" w:space="0" w:color="auto"/>
              <w:left w:val="single" w:sz="4" w:space="0" w:color="auto"/>
              <w:bottom w:val="single" w:sz="4" w:space="0" w:color="auto"/>
              <w:right w:val="single" w:sz="4" w:space="0" w:color="auto"/>
            </w:tcBorders>
            <w:shd w:val="clear" w:color="auto" w:fill="auto"/>
            <w:hideMark/>
          </w:tcPr>
          <w:p w14:paraId="25E23FFB"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Entrate che rettificano il valore di spese indebitamente registrate oppure</w:t>
            </w:r>
            <w:r w:rsidRPr="009854B1">
              <w:rPr>
                <w:rFonts w:ascii="Calibri" w:eastAsia="Times New Roman" w:hAnsi="Calibri" w:cs="Arial"/>
                <w:sz w:val="22"/>
                <w:szCs w:val="22"/>
                <w:lang w:eastAsia="it-IT"/>
              </w:rPr>
              <w:br/>
              <w:t>registrazioni che trovano corrispondenza in entrate equivalenti, sia per la</w:t>
            </w:r>
            <w:r w:rsidRPr="009854B1">
              <w:rPr>
                <w:rFonts w:ascii="Calibri" w:eastAsia="Times New Roman" w:hAnsi="Calibri" w:cs="Arial"/>
                <w:sz w:val="22"/>
                <w:szCs w:val="22"/>
                <w:lang w:eastAsia="it-IT"/>
              </w:rPr>
              <w:br/>
              <w:t>natura del titolo che per l'entità dell'importo, che non costituiscono,</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peraltro, vere e proprie partite di giro. Rientrano in questa voce, ad</w:t>
            </w:r>
            <w:r w:rsidRPr="009854B1">
              <w:rPr>
                <w:rFonts w:ascii="Calibri" w:eastAsia="Times New Roman" w:hAnsi="Calibri" w:cs="Arial"/>
                <w:sz w:val="22"/>
                <w:szCs w:val="22"/>
                <w:lang w:eastAsia="it-IT"/>
              </w:rPr>
              <w:br/>
              <w:t>esempio, i rimborsi di imposte versate e non dovute.</w:t>
            </w:r>
          </w:p>
        </w:tc>
      </w:tr>
      <w:tr w:rsidR="003C4B65" w:rsidRPr="003C4B65" w14:paraId="5A20CBE9" w14:textId="77777777" w:rsidTr="00FB4F0C">
        <w:trPr>
          <w:trHeight w:val="214"/>
          <w:jc w:val="center"/>
        </w:trPr>
        <w:tc>
          <w:tcPr>
            <w:tcW w:w="1558" w:type="pct"/>
            <w:tcBorders>
              <w:top w:val="single" w:sz="4" w:space="0" w:color="auto"/>
              <w:left w:val="single" w:sz="4" w:space="0" w:color="000000"/>
              <w:bottom w:val="single" w:sz="4" w:space="0" w:color="000000"/>
              <w:right w:val="single" w:sz="4" w:space="0" w:color="000000"/>
            </w:tcBorders>
            <w:shd w:val="clear" w:color="auto" w:fill="auto"/>
            <w:noWrap/>
            <w:hideMark/>
          </w:tcPr>
          <w:p w14:paraId="3F732989"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7. Altre entrate correnti</w:t>
            </w:r>
          </w:p>
        </w:tc>
        <w:tc>
          <w:tcPr>
            <w:tcW w:w="3442" w:type="pct"/>
            <w:tcBorders>
              <w:top w:val="single" w:sz="4" w:space="0" w:color="auto"/>
              <w:left w:val="nil"/>
              <w:bottom w:val="single" w:sz="4" w:space="0" w:color="000000"/>
              <w:right w:val="single" w:sz="4" w:space="0" w:color="000000"/>
            </w:tcBorders>
            <w:shd w:val="clear" w:color="auto" w:fill="auto"/>
            <w:hideMark/>
          </w:tcPr>
          <w:p w14:paraId="400D5273"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Entrate correnti che non trovano collocazione in alcuna delle precedenti</w:t>
            </w:r>
            <w:r w:rsidRPr="009854B1">
              <w:rPr>
                <w:rFonts w:ascii="Calibri" w:eastAsia="Times New Roman" w:hAnsi="Calibri" w:cs="Arial"/>
                <w:sz w:val="22"/>
                <w:szCs w:val="22"/>
                <w:lang w:eastAsia="it-IT"/>
              </w:rPr>
              <w:br/>
              <w:t>sezioni.</w:t>
            </w:r>
          </w:p>
        </w:tc>
      </w:tr>
      <w:tr w:rsidR="003C4B65" w:rsidRPr="003C4B65" w14:paraId="1B58A45C" w14:textId="77777777" w:rsidTr="007345F1">
        <w:trPr>
          <w:trHeight w:val="70"/>
          <w:jc w:val="center"/>
        </w:trPr>
        <w:tc>
          <w:tcPr>
            <w:tcW w:w="1558" w:type="pct"/>
            <w:tcBorders>
              <w:top w:val="nil"/>
              <w:left w:val="single" w:sz="4" w:space="0" w:color="000000"/>
              <w:bottom w:val="single" w:sz="4" w:space="0" w:color="000000"/>
              <w:right w:val="single" w:sz="4" w:space="0" w:color="000000"/>
            </w:tcBorders>
            <w:shd w:val="clear" w:color="auto" w:fill="auto"/>
            <w:noWrap/>
            <w:vAlign w:val="center"/>
            <w:hideMark/>
          </w:tcPr>
          <w:p w14:paraId="373B8415" w14:textId="77777777" w:rsidR="003C4B65" w:rsidRPr="009854B1" w:rsidRDefault="003C4B65"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ENTRATE IN CONTO CAPITALE</w:t>
            </w:r>
          </w:p>
        </w:tc>
        <w:tc>
          <w:tcPr>
            <w:tcW w:w="3442" w:type="pct"/>
            <w:tcBorders>
              <w:top w:val="nil"/>
              <w:left w:val="nil"/>
              <w:bottom w:val="single" w:sz="4" w:space="0" w:color="000000"/>
              <w:right w:val="single" w:sz="4" w:space="0" w:color="000000"/>
            </w:tcBorders>
            <w:shd w:val="clear" w:color="auto" w:fill="auto"/>
            <w:noWrap/>
            <w:vAlign w:val="center"/>
            <w:hideMark/>
          </w:tcPr>
          <w:p w14:paraId="0146FCB0" w14:textId="77777777" w:rsidR="003C4B65" w:rsidRPr="009854B1" w:rsidRDefault="003C4B65" w:rsidP="007345F1">
            <w:pPr>
              <w:jc w:val="center"/>
              <w:rPr>
                <w:rFonts w:ascii="Calibri" w:eastAsia="Times New Roman" w:hAnsi="Calibri" w:cs="Arial"/>
                <w:sz w:val="22"/>
                <w:szCs w:val="22"/>
                <w:lang w:eastAsia="it-IT"/>
              </w:rPr>
            </w:pPr>
          </w:p>
        </w:tc>
      </w:tr>
      <w:tr w:rsidR="003C4B65" w:rsidRPr="003C4B65" w14:paraId="53371233" w14:textId="77777777" w:rsidTr="00434622">
        <w:trPr>
          <w:trHeight w:val="381"/>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32A62EA5"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1. Entrate da alienazione di beni patrimoniali</w:t>
            </w:r>
          </w:p>
        </w:tc>
        <w:tc>
          <w:tcPr>
            <w:tcW w:w="3442" w:type="pct"/>
            <w:tcBorders>
              <w:top w:val="nil"/>
              <w:left w:val="nil"/>
              <w:bottom w:val="single" w:sz="4" w:space="0" w:color="000000"/>
              <w:right w:val="single" w:sz="4" w:space="0" w:color="000000"/>
            </w:tcBorders>
            <w:shd w:val="clear" w:color="auto" w:fill="auto"/>
            <w:hideMark/>
          </w:tcPr>
          <w:p w14:paraId="2C585163"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Controvalore delle dismissioni di attivi finanziari (titoli, obbligazioni,</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azioni) o non finanziari (immobili, terreni, macchine ed attrezzature, altri</w:t>
            </w:r>
            <w:r w:rsidRPr="009854B1">
              <w:rPr>
                <w:rFonts w:ascii="Calibri" w:eastAsia="Times New Roman" w:hAnsi="Calibri" w:cs="Arial"/>
                <w:sz w:val="22"/>
                <w:szCs w:val="22"/>
                <w:lang w:eastAsia="it-IT"/>
              </w:rPr>
              <w:br/>
              <w:t>beni mobili).</w:t>
            </w:r>
          </w:p>
        </w:tc>
      </w:tr>
      <w:tr w:rsidR="003C4B65" w:rsidRPr="003C4B65" w14:paraId="57DED6DE" w14:textId="77777777" w:rsidTr="00434622">
        <w:trPr>
          <w:trHeight w:val="2122"/>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02C21ED0"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2. Entrate da trasferimenti in conto capitale, distinte in:</w:t>
            </w:r>
          </w:p>
        </w:tc>
        <w:tc>
          <w:tcPr>
            <w:tcW w:w="3442" w:type="pct"/>
            <w:tcBorders>
              <w:top w:val="nil"/>
              <w:left w:val="nil"/>
              <w:bottom w:val="single" w:sz="4" w:space="0" w:color="000000"/>
              <w:right w:val="single" w:sz="4" w:space="0" w:color="000000"/>
            </w:tcBorders>
            <w:shd w:val="clear" w:color="auto" w:fill="auto"/>
            <w:hideMark/>
          </w:tcPr>
          <w:p w14:paraId="6C24B91F"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Incassi derivanti da erogazioni unilaterali, ossia senza contropartita, aventi natura non ricorrente e destinati a finanziare spesa in conto capitale o altre spese di natura straordinaria. Le rispettive entrate vanno collocate nella voce specificamente dedicata ai soggetti che materialmente trasferiscono le risorse. Ad esempio, nella voce '</w:t>
            </w:r>
            <w:proofErr w:type="spellStart"/>
            <w:r w:rsidRPr="009854B1">
              <w:rPr>
                <w:rFonts w:ascii="Calibri" w:eastAsia="Times New Roman" w:hAnsi="Calibri" w:cs="Arial"/>
                <w:sz w:val="22"/>
                <w:szCs w:val="22"/>
                <w:lang w:eastAsia="it-IT"/>
              </w:rPr>
              <w:t>Trasf</w:t>
            </w:r>
            <w:proofErr w:type="spellEnd"/>
            <w:r w:rsidRPr="009854B1">
              <w:rPr>
                <w:rFonts w:ascii="Calibri" w:eastAsia="Times New Roman" w:hAnsi="Calibri" w:cs="Arial"/>
                <w:sz w:val="22"/>
                <w:szCs w:val="22"/>
                <w:lang w:eastAsia="it-IT"/>
              </w:rPr>
              <w:t>. in conto corrente da Unione Europea e altre istituzioni estere', dovranno essere inseriti esclusivamente i trasferimenti direttamente erogati direttamente dalla Commissione Europea, o da altre Agenzie comunitarie. Al contrario, i fondi europei trasferiti da altri Enti (Regione, Ministeri, Imprese Pubbliche nazionali, altri organismi intermedi o Lead partner), dovranno essere inseriti nella corrisponden</w:t>
            </w:r>
            <w:r w:rsidR="009854B1" w:rsidRPr="009854B1">
              <w:rPr>
                <w:rFonts w:ascii="Calibri" w:eastAsia="Times New Roman" w:hAnsi="Calibri" w:cs="Arial"/>
                <w:sz w:val="22"/>
                <w:szCs w:val="22"/>
                <w:lang w:eastAsia="it-IT"/>
              </w:rPr>
              <w:t>te tipologia di trasferimento.</w:t>
            </w:r>
          </w:p>
        </w:tc>
      </w:tr>
      <w:tr w:rsidR="003C4B65" w:rsidRPr="003C4B65" w14:paraId="6C6B6A9F" w14:textId="77777777" w:rsidTr="00434622">
        <w:trPr>
          <w:trHeight w:val="31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1AE5F61E"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Unione Europea e altre istituzioni estere</w:t>
            </w:r>
          </w:p>
        </w:tc>
        <w:tc>
          <w:tcPr>
            <w:tcW w:w="3442" w:type="pct"/>
            <w:vMerge w:val="restart"/>
            <w:tcBorders>
              <w:top w:val="nil"/>
              <w:left w:val="single" w:sz="4" w:space="0" w:color="000000"/>
              <w:bottom w:val="single" w:sz="4" w:space="0" w:color="000000"/>
              <w:right w:val="single" w:sz="4" w:space="0" w:color="000000"/>
            </w:tcBorders>
            <w:shd w:val="clear" w:color="auto" w:fill="auto"/>
            <w:noWrap/>
            <w:hideMark/>
          </w:tcPr>
          <w:p w14:paraId="031F8CDB" w14:textId="77777777" w:rsidR="003C4B65" w:rsidRPr="00434622" w:rsidRDefault="009854B1"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3C4B65" w:rsidRPr="00434622">
              <w:rPr>
                <w:rFonts w:ascii="Calibri" w:eastAsia="Times New Roman" w:hAnsi="Calibri" w:cs="Arial"/>
                <w:b/>
                <w:sz w:val="22"/>
                <w:szCs w:val="22"/>
                <w:lang w:eastAsia="it-IT"/>
              </w:rPr>
              <w:t>edi descrizione voce di entrata in conto capitale n. 2</w:t>
            </w:r>
          </w:p>
        </w:tc>
      </w:tr>
      <w:tr w:rsidR="003C4B65" w:rsidRPr="003C4B65" w14:paraId="681D9AF8" w14:textId="77777777" w:rsidTr="00434622">
        <w:trPr>
          <w:trHeight w:val="31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6FE65763"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famiglie e istituzioni sociali</w:t>
            </w:r>
          </w:p>
        </w:tc>
        <w:tc>
          <w:tcPr>
            <w:tcW w:w="3442" w:type="pct"/>
            <w:vMerge/>
            <w:tcBorders>
              <w:top w:val="nil"/>
              <w:left w:val="single" w:sz="4" w:space="0" w:color="000000"/>
              <w:bottom w:val="single" w:sz="4" w:space="0" w:color="000000"/>
              <w:right w:val="single" w:sz="4" w:space="0" w:color="000000"/>
            </w:tcBorders>
            <w:hideMark/>
          </w:tcPr>
          <w:p w14:paraId="72B36B05"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0C49BDA4" w14:textId="77777777" w:rsidTr="00434622">
        <w:trPr>
          <w:trHeight w:val="310"/>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52CF1B8C"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imprese private</w:t>
            </w:r>
          </w:p>
        </w:tc>
        <w:tc>
          <w:tcPr>
            <w:tcW w:w="3442" w:type="pct"/>
            <w:vMerge/>
            <w:tcBorders>
              <w:top w:val="nil"/>
              <w:left w:val="single" w:sz="4" w:space="0" w:color="000000"/>
              <w:bottom w:val="single" w:sz="4" w:space="0" w:color="000000"/>
              <w:right w:val="single" w:sz="4" w:space="0" w:color="000000"/>
            </w:tcBorders>
            <w:hideMark/>
          </w:tcPr>
          <w:p w14:paraId="6E60A292"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41D0C431" w14:textId="77777777" w:rsidTr="00434622">
        <w:trPr>
          <w:trHeight w:val="4951"/>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03FD0723"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imprese pubbliche nazionali</w:t>
            </w:r>
          </w:p>
        </w:tc>
        <w:tc>
          <w:tcPr>
            <w:tcW w:w="3442" w:type="pct"/>
            <w:tcBorders>
              <w:top w:val="nil"/>
              <w:left w:val="nil"/>
              <w:bottom w:val="single" w:sz="4" w:space="0" w:color="000000"/>
              <w:right w:val="single" w:sz="4" w:space="0" w:color="000000"/>
            </w:tcBorders>
            <w:shd w:val="clear" w:color="auto" w:fill="auto"/>
            <w:hideMark/>
          </w:tcPr>
          <w:p w14:paraId="1D0772EE" w14:textId="77777777" w:rsidR="003C4B65" w:rsidRPr="009854B1" w:rsidRDefault="003C4B65" w:rsidP="00434622">
            <w:pPr>
              <w:rPr>
                <w:rFonts w:ascii="Calibri" w:eastAsia="Times New Roman" w:hAnsi="Calibri" w:cs="Arial"/>
                <w:sz w:val="22"/>
                <w:szCs w:val="22"/>
                <w:lang w:eastAsia="it-IT"/>
              </w:rPr>
            </w:pPr>
            <w:r w:rsidRPr="009854B1">
              <w:rPr>
                <w:rFonts w:ascii="Calibri" w:eastAsia="Times New Roman" w:hAnsi="Calibri" w:cs="Arial"/>
                <w:sz w:val="22"/>
                <w:szCs w:val="22"/>
                <w:lang w:eastAsia="it-IT"/>
              </w:rPr>
              <w:t xml:space="preserve"> -Azienda dei Monopoli di Stato (dal 2013 confluito nell’Agenzia delle Dogane</w:t>
            </w:r>
            <w:r w:rsidRPr="009854B1">
              <w:rPr>
                <w:rFonts w:ascii="Calibri" w:eastAsia="Times New Roman" w:hAnsi="Calibri" w:cs="Arial"/>
                <w:sz w:val="22"/>
                <w:szCs w:val="22"/>
                <w:lang w:eastAsia="it-IT"/>
              </w:rPr>
              <w:br/>
              <w:t>e dei Monopoli)</w:t>
            </w:r>
            <w:r w:rsidRPr="009854B1">
              <w:rPr>
                <w:rFonts w:ascii="Calibri" w:eastAsia="Times New Roman" w:hAnsi="Calibri" w:cs="Arial"/>
                <w:sz w:val="22"/>
                <w:szCs w:val="22"/>
                <w:lang w:eastAsia="it-IT"/>
              </w:rPr>
              <w:br/>
              <w:t>- Cassa Depositi e Prestiti (dal 2004, anno di trasformazione dell’Ente in</w:t>
            </w:r>
            <w:r w:rsidRPr="009854B1">
              <w:rPr>
                <w:rFonts w:ascii="Calibri" w:eastAsia="Times New Roman" w:hAnsi="Calibri" w:cs="Arial"/>
                <w:sz w:val="22"/>
                <w:szCs w:val="22"/>
                <w:lang w:eastAsia="it-IT"/>
              </w:rPr>
              <w:br/>
              <w:t>S.p.A.)</w:t>
            </w:r>
            <w:r w:rsidRPr="009854B1">
              <w:rPr>
                <w:rFonts w:ascii="Calibri" w:eastAsia="Times New Roman" w:hAnsi="Calibri" w:cs="Arial"/>
                <w:sz w:val="22"/>
                <w:szCs w:val="22"/>
                <w:lang w:eastAsia="it-IT"/>
              </w:rPr>
              <w:br/>
              <w:t>- Ente Tabacchi Italiano (fino al 2003, anno della completa privatizzazione)</w:t>
            </w:r>
            <w:r w:rsidRPr="009854B1">
              <w:rPr>
                <w:rFonts w:ascii="Calibri" w:eastAsia="Times New Roman" w:hAnsi="Calibri" w:cs="Arial"/>
                <w:sz w:val="22"/>
                <w:szCs w:val="22"/>
                <w:lang w:eastAsia="it-IT"/>
              </w:rPr>
              <w:br/>
              <w:t>- ENEL</w:t>
            </w:r>
            <w:r w:rsidRPr="009854B1">
              <w:rPr>
                <w:rFonts w:ascii="Calibri" w:eastAsia="Times New Roman" w:hAnsi="Calibri" w:cs="Arial"/>
                <w:sz w:val="22"/>
                <w:szCs w:val="22"/>
                <w:lang w:eastAsia="it-IT"/>
              </w:rPr>
              <w:br/>
              <w:t xml:space="preserve">- Poste Italiane </w:t>
            </w:r>
            <w:proofErr w:type="spellStart"/>
            <w:r w:rsidRPr="009854B1">
              <w:rPr>
                <w:rFonts w:ascii="Calibri" w:eastAsia="Times New Roman" w:hAnsi="Calibri" w:cs="Arial"/>
                <w:sz w:val="22"/>
                <w:szCs w:val="22"/>
                <w:lang w:eastAsia="it-IT"/>
              </w:rPr>
              <w:t>S.p.A</w:t>
            </w:r>
            <w:proofErr w:type="spellEnd"/>
            <w:r w:rsidRPr="009854B1">
              <w:rPr>
                <w:rFonts w:ascii="Calibri" w:eastAsia="Times New Roman" w:hAnsi="Calibri" w:cs="Arial"/>
                <w:sz w:val="22"/>
                <w:szCs w:val="22"/>
                <w:lang w:eastAsia="it-IT"/>
              </w:rPr>
              <w:br/>
              <w:t>- Ferrovie dello Stato</w:t>
            </w:r>
            <w:r w:rsidRPr="009854B1">
              <w:rPr>
                <w:rFonts w:ascii="Calibri" w:eastAsia="Times New Roman" w:hAnsi="Calibri" w:cs="Arial"/>
                <w:sz w:val="22"/>
                <w:szCs w:val="22"/>
                <w:lang w:eastAsia="it-IT"/>
              </w:rPr>
              <w:br/>
              <w:t>- ENI</w:t>
            </w:r>
            <w:r w:rsidRPr="009854B1">
              <w:rPr>
                <w:rFonts w:ascii="Calibri" w:eastAsia="Times New Roman" w:hAnsi="Calibri" w:cs="Arial"/>
                <w:sz w:val="22"/>
                <w:szCs w:val="22"/>
                <w:lang w:eastAsia="it-IT"/>
              </w:rPr>
              <w:br/>
              <w:t>- ACI</w:t>
            </w:r>
            <w:r w:rsidRPr="009854B1">
              <w:rPr>
                <w:rFonts w:ascii="Calibri" w:eastAsia="Times New Roman" w:hAnsi="Calibri" w:cs="Arial"/>
                <w:sz w:val="22"/>
                <w:szCs w:val="22"/>
                <w:lang w:eastAsia="it-IT"/>
              </w:rPr>
              <w:br/>
              <w:t>- Aziende ex IRI (Aeroporti di Roma, Alitalia, Finmeccanica, Fintecna, RAI)</w:t>
            </w:r>
            <w:r w:rsidRPr="009854B1">
              <w:rPr>
                <w:rFonts w:ascii="Calibri" w:eastAsia="Times New Roman" w:hAnsi="Calibri" w:cs="Arial"/>
                <w:sz w:val="22"/>
                <w:szCs w:val="22"/>
                <w:lang w:eastAsia="it-IT"/>
              </w:rPr>
              <w:br/>
              <w:t>- ENAV (dal 2001, anno di trasformazione dell’Ente in S.p.A.)</w:t>
            </w:r>
            <w:r w:rsidRPr="009854B1">
              <w:rPr>
                <w:rFonts w:ascii="Calibri" w:eastAsia="Times New Roman" w:hAnsi="Calibri" w:cs="Arial"/>
                <w:sz w:val="22"/>
                <w:szCs w:val="22"/>
                <w:lang w:eastAsia="it-IT"/>
              </w:rPr>
              <w:br/>
              <w:t>- GSE (Gestore Servizi Elettrici, ex GRTN)</w:t>
            </w:r>
            <w:r w:rsidRPr="009854B1">
              <w:rPr>
                <w:rFonts w:ascii="Calibri" w:eastAsia="Times New Roman" w:hAnsi="Calibri" w:cs="Arial"/>
                <w:sz w:val="22"/>
                <w:szCs w:val="22"/>
                <w:lang w:eastAsia="it-IT"/>
              </w:rPr>
              <w:br/>
              <w:t>- Terna Rete Elettrica Nazionale</w:t>
            </w:r>
            <w:r w:rsidRPr="009854B1">
              <w:rPr>
                <w:rFonts w:ascii="Calibri" w:eastAsia="Times New Roman" w:hAnsi="Calibri" w:cs="Arial"/>
                <w:sz w:val="22"/>
                <w:szCs w:val="22"/>
                <w:lang w:eastAsia="it-IT"/>
              </w:rPr>
              <w:br/>
              <w:t>- Infrastrutture S.p.A. (fino al 2005: dal 2006 è incorporata in Cassa</w:t>
            </w:r>
            <w:r w:rsidRPr="009854B1">
              <w:rPr>
                <w:rFonts w:ascii="Calibri" w:eastAsia="Times New Roman" w:hAnsi="Calibri" w:cs="Arial"/>
                <w:sz w:val="22"/>
                <w:szCs w:val="22"/>
                <w:lang w:eastAsia="it-IT"/>
              </w:rPr>
              <w:br/>
              <w:t>Depositi e Prestiti)</w:t>
            </w:r>
            <w:r w:rsidRPr="009854B1">
              <w:rPr>
                <w:rFonts w:ascii="Calibri" w:eastAsia="Times New Roman" w:hAnsi="Calibri" w:cs="Arial"/>
                <w:sz w:val="22"/>
                <w:szCs w:val="22"/>
                <w:lang w:eastAsia="it-IT"/>
              </w:rPr>
              <w:br/>
              <w:t>- Italia Lavoro</w:t>
            </w:r>
            <w:r w:rsidRPr="009854B1">
              <w:rPr>
                <w:rFonts w:ascii="Calibri" w:eastAsia="Times New Roman" w:hAnsi="Calibri" w:cs="Arial"/>
                <w:sz w:val="22"/>
                <w:szCs w:val="22"/>
                <w:lang w:eastAsia="it-IT"/>
              </w:rPr>
              <w:br/>
              <w:t>- SIMEST (Società Italiana per le Imprese all’Estero)</w:t>
            </w:r>
            <w:r w:rsidRPr="009854B1">
              <w:rPr>
                <w:rFonts w:ascii="Calibri" w:eastAsia="Times New Roman" w:hAnsi="Calibri" w:cs="Arial"/>
                <w:sz w:val="22"/>
                <w:szCs w:val="22"/>
                <w:lang w:eastAsia="it-IT"/>
              </w:rPr>
              <w:br/>
              <w:t>- SOGESID (Società Gestione Impianti Idrici)</w:t>
            </w:r>
            <w:r w:rsidRPr="009854B1">
              <w:rPr>
                <w:rFonts w:ascii="Calibri" w:eastAsia="Times New Roman" w:hAnsi="Calibri" w:cs="Arial"/>
                <w:sz w:val="22"/>
                <w:szCs w:val="22"/>
                <w:lang w:eastAsia="it-IT"/>
              </w:rPr>
              <w:br/>
              <w:t>- SOGIN (Società Gestione Impianti Nucleari)</w:t>
            </w:r>
            <w:r w:rsidRPr="009854B1">
              <w:rPr>
                <w:rFonts w:ascii="Calibri" w:eastAsia="Times New Roman" w:hAnsi="Calibri" w:cs="Arial"/>
                <w:sz w:val="22"/>
                <w:szCs w:val="22"/>
                <w:lang w:eastAsia="it-IT"/>
              </w:rPr>
              <w:br/>
              <w:t>- Invitalia (ex Sviluppo Italia)</w:t>
            </w:r>
          </w:p>
        </w:tc>
      </w:tr>
    </w:tbl>
    <w:p w14:paraId="01035A54" w14:textId="77777777" w:rsidR="002E6C53" w:rsidRDefault="002E6C53">
      <w:r>
        <w:br w:type="page"/>
      </w:r>
    </w:p>
    <w:tbl>
      <w:tblPr>
        <w:tblW w:w="5000" w:type="pct"/>
        <w:jc w:val="center"/>
        <w:tblLayout w:type="fixed"/>
        <w:tblCellMar>
          <w:left w:w="70" w:type="dxa"/>
          <w:right w:w="70" w:type="dxa"/>
        </w:tblCellMar>
        <w:tblLook w:val="04A0" w:firstRow="1" w:lastRow="0" w:firstColumn="1" w:lastColumn="0" w:noHBand="0" w:noVBand="1"/>
      </w:tblPr>
      <w:tblGrid>
        <w:gridCol w:w="3223"/>
        <w:gridCol w:w="7121"/>
      </w:tblGrid>
      <w:tr w:rsidR="003C4B65" w:rsidRPr="003C4B65" w14:paraId="06CF14BA" w14:textId="77777777" w:rsidTr="0088033B">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78AD09C6"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lastRenderedPageBreak/>
              <w:t xml:space="preserve">    2.5.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enti pubblici, distinti in:</w:t>
            </w:r>
          </w:p>
        </w:tc>
        <w:tc>
          <w:tcPr>
            <w:tcW w:w="34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5CF927" w14:textId="77777777" w:rsidR="003C4B65" w:rsidRPr="00434622" w:rsidRDefault="003C4B65"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vedi descrizione voce di entrata in conto capitale n. 2</w:t>
            </w:r>
          </w:p>
        </w:tc>
      </w:tr>
      <w:tr w:rsidR="003C4B65" w:rsidRPr="003C4B65" w14:paraId="689C1D29"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515AE8F4"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Stato</w:t>
            </w:r>
          </w:p>
        </w:tc>
        <w:tc>
          <w:tcPr>
            <w:tcW w:w="3442" w:type="pct"/>
            <w:vMerge/>
            <w:tcBorders>
              <w:top w:val="single" w:sz="4" w:space="0" w:color="auto"/>
              <w:left w:val="single" w:sz="4" w:space="0" w:color="auto"/>
              <w:bottom w:val="single" w:sz="4" w:space="0" w:color="auto"/>
              <w:right w:val="single" w:sz="4" w:space="0" w:color="auto"/>
            </w:tcBorders>
            <w:hideMark/>
          </w:tcPr>
          <w:p w14:paraId="27A7BA20"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20251C1"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4817AF4C"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altri enti dell'amministrazione centrale</w:t>
            </w:r>
          </w:p>
        </w:tc>
        <w:tc>
          <w:tcPr>
            <w:tcW w:w="3442" w:type="pct"/>
            <w:vMerge/>
            <w:tcBorders>
              <w:top w:val="single" w:sz="4" w:space="0" w:color="auto"/>
              <w:left w:val="single" w:sz="4" w:space="0" w:color="auto"/>
              <w:bottom w:val="single" w:sz="4" w:space="0" w:color="auto"/>
              <w:right w:val="single" w:sz="4" w:space="0" w:color="auto"/>
            </w:tcBorders>
            <w:hideMark/>
          </w:tcPr>
          <w:p w14:paraId="4FACC4AF"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384ACA7"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1E072D56"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Regioni e Province Autonome</w:t>
            </w:r>
          </w:p>
        </w:tc>
        <w:tc>
          <w:tcPr>
            <w:tcW w:w="3442" w:type="pct"/>
            <w:vMerge/>
            <w:tcBorders>
              <w:top w:val="single" w:sz="4" w:space="0" w:color="auto"/>
              <w:left w:val="single" w:sz="4" w:space="0" w:color="auto"/>
              <w:bottom w:val="single" w:sz="4" w:space="0" w:color="auto"/>
              <w:right w:val="single" w:sz="4" w:space="0" w:color="auto"/>
            </w:tcBorders>
            <w:hideMark/>
          </w:tcPr>
          <w:p w14:paraId="1462F604"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5353B6E9"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03E05B2A"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Province e Città metropolitane</w:t>
            </w:r>
          </w:p>
        </w:tc>
        <w:tc>
          <w:tcPr>
            <w:tcW w:w="3442" w:type="pct"/>
            <w:vMerge/>
            <w:tcBorders>
              <w:top w:val="single" w:sz="4" w:space="0" w:color="auto"/>
              <w:left w:val="single" w:sz="4" w:space="0" w:color="auto"/>
              <w:bottom w:val="single" w:sz="4" w:space="0" w:color="auto"/>
              <w:right w:val="single" w:sz="4" w:space="0" w:color="auto"/>
            </w:tcBorders>
            <w:hideMark/>
          </w:tcPr>
          <w:p w14:paraId="5115FB3A"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032C5D0B"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4D9CF67D"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Comuni</w:t>
            </w:r>
          </w:p>
        </w:tc>
        <w:tc>
          <w:tcPr>
            <w:tcW w:w="3442" w:type="pct"/>
            <w:vMerge/>
            <w:tcBorders>
              <w:top w:val="single" w:sz="4" w:space="0" w:color="auto"/>
              <w:left w:val="single" w:sz="4" w:space="0" w:color="auto"/>
              <w:bottom w:val="single" w:sz="4" w:space="0" w:color="auto"/>
              <w:right w:val="single" w:sz="4" w:space="0" w:color="auto"/>
            </w:tcBorders>
            <w:hideMark/>
          </w:tcPr>
          <w:p w14:paraId="19A8FE31"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5CDC90D3"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57FA2E29"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2.5.6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A.S.L., Aziende ospedaliere e IRCCS</w:t>
            </w:r>
          </w:p>
        </w:tc>
        <w:tc>
          <w:tcPr>
            <w:tcW w:w="3442" w:type="pct"/>
            <w:vMerge/>
            <w:tcBorders>
              <w:top w:val="single" w:sz="4" w:space="0" w:color="auto"/>
              <w:left w:val="single" w:sz="4" w:space="0" w:color="auto"/>
              <w:bottom w:val="single" w:sz="4" w:space="0" w:color="auto"/>
              <w:right w:val="single" w:sz="4" w:space="0" w:color="auto"/>
            </w:tcBorders>
            <w:hideMark/>
          </w:tcPr>
          <w:p w14:paraId="33C9B975"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B51AEAE"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14ACC7E5"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2.5.7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Consorzi e Forme associative</w:t>
            </w:r>
          </w:p>
        </w:tc>
        <w:tc>
          <w:tcPr>
            <w:tcW w:w="3442" w:type="pct"/>
            <w:vMerge/>
            <w:tcBorders>
              <w:top w:val="single" w:sz="4" w:space="0" w:color="auto"/>
              <w:left w:val="single" w:sz="4" w:space="0" w:color="auto"/>
              <w:bottom w:val="single" w:sz="4" w:space="0" w:color="auto"/>
              <w:right w:val="single" w:sz="4" w:space="0" w:color="auto"/>
            </w:tcBorders>
            <w:hideMark/>
          </w:tcPr>
          <w:p w14:paraId="437D5C7B"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65000266" w14:textId="77777777" w:rsidTr="0088033B">
        <w:trPr>
          <w:trHeight w:val="580"/>
          <w:jc w:val="center"/>
        </w:trPr>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47A71470"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2.5.8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Aziende, Istituzioni, Società e fondazioni                partecipate a livello locale</w:t>
            </w:r>
          </w:p>
        </w:tc>
        <w:tc>
          <w:tcPr>
            <w:tcW w:w="3442" w:type="pct"/>
            <w:vMerge/>
            <w:tcBorders>
              <w:top w:val="single" w:sz="4" w:space="0" w:color="auto"/>
              <w:left w:val="single" w:sz="4" w:space="0" w:color="auto"/>
              <w:bottom w:val="single" w:sz="4" w:space="0" w:color="auto"/>
              <w:right w:val="single" w:sz="4" w:space="0" w:color="auto"/>
            </w:tcBorders>
            <w:hideMark/>
          </w:tcPr>
          <w:p w14:paraId="6FC7F49C"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4752D111"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4C68FB77"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2.5.9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Comunità Montane e altre Unioni di enti locali</w:t>
            </w:r>
          </w:p>
        </w:tc>
        <w:tc>
          <w:tcPr>
            <w:tcW w:w="3442" w:type="pct"/>
            <w:vMerge/>
            <w:tcBorders>
              <w:top w:val="single" w:sz="4" w:space="0" w:color="auto"/>
              <w:left w:val="single" w:sz="4" w:space="0" w:color="auto"/>
              <w:bottom w:val="single" w:sz="4" w:space="0" w:color="auto"/>
              <w:right w:val="single" w:sz="4" w:space="0" w:color="auto"/>
            </w:tcBorders>
            <w:hideMark/>
          </w:tcPr>
          <w:p w14:paraId="7283DA18"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68FACBA"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4F2B46E0"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2.5.10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enti dipendenti dalla Regione</w:t>
            </w:r>
          </w:p>
        </w:tc>
        <w:tc>
          <w:tcPr>
            <w:tcW w:w="3442" w:type="pct"/>
            <w:vMerge/>
            <w:tcBorders>
              <w:top w:val="single" w:sz="4" w:space="0" w:color="auto"/>
              <w:left w:val="single" w:sz="4" w:space="0" w:color="auto"/>
              <w:bottom w:val="single" w:sz="4" w:space="0" w:color="auto"/>
              <w:right w:val="single" w:sz="4" w:space="0" w:color="auto"/>
            </w:tcBorders>
            <w:hideMark/>
          </w:tcPr>
          <w:p w14:paraId="4A4AE713"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197068DE" w14:textId="77777777" w:rsidTr="0088033B">
        <w:trPr>
          <w:trHeight w:val="29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40E239D5" w14:textId="77777777" w:rsidR="003C4B65" w:rsidRPr="009854B1" w:rsidRDefault="003C4B65" w:rsidP="003C4B65">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2.5.11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da altri enti dell'Amministrazione locale</w:t>
            </w:r>
          </w:p>
        </w:tc>
        <w:tc>
          <w:tcPr>
            <w:tcW w:w="3442" w:type="pct"/>
            <w:vMerge/>
            <w:tcBorders>
              <w:top w:val="single" w:sz="4" w:space="0" w:color="auto"/>
              <w:left w:val="single" w:sz="4" w:space="0" w:color="auto"/>
              <w:bottom w:val="single" w:sz="4" w:space="0" w:color="auto"/>
              <w:right w:val="single" w:sz="4" w:space="0" w:color="auto"/>
            </w:tcBorders>
            <w:hideMark/>
          </w:tcPr>
          <w:p w14:paraId="41D16730" w14:textId="77777777" w:rsidR="003C4B65" w:rsidRPr="009854B1" w:rsidRDefault="003C4B65" w:rsidP="00434622">
            <w:pPr>
              <w:jc w:val="both"/>
              <w:rPr>
                <w:rFonts w:ascii="Calibri" w:eastAsia="Times New Roman" w:hAnsi="Calibri" w:cs="Arial"/>
                <w:sz w:val="22"/>
                <w:szCs w:val="22"/>
                <w:lang w:eastAsia="it-IT"/>
              </w:rPr>
            </w:pPr>
          </w:p>
        </w:tc>
      </w:tr>
      <w:tr w:rsidR="003C4B65" w:rsidRPr="003C4B65" w14:paraId="33EFEEB1" w14:textId="77777777" w:rsidTr="0088033B">
        <w:trPr>
          <w:trHeight w:val="114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0873CA9E"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3. Entrate da riscossioni di crediti</w:t>
            </w:r>
          </w:p>
        </w:tc>
        <w:tc>
          <w:tcPr>
            <w:tcW w:w="3442" w:type="pct"/>
            <w:tcBorders>
              <w:top w:val="single" w:sz="4" w:space="0" w:color="auto"/>
              <w:left w:val="single" w:sz="4" w:space="0" w:color="auto"/>
              <w:bottom w:val="single" w:sz="4" w:space="0" w:color="auto"/>
              <w:right w:val="single" w:sz="4" w:space="0" w:color="auto"/>
            </w:tcBorders>
            <w:shd w:val="clear" w:color="auto" w:fill="auto"/>
            <w:hideMark/>
          </w:tcPr>
          <w:p w14:paraId="5D30CB31"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Entrate derivanti dalla restituzione, da parte di unità debitrici, delle</w:t>
            </w:r>
            <w:r w:rsidRPr="009854B1">
              <w:rPr>
                <w:rFonts w:ascii="Calibri" w:eastAsia="Times New Roman" w:hAnsi="Calibri" w:cs="Arial"/>
                <w:sz w:val="22"/>
                <w:szCs w:val="22"/>
                <w:lang w:eastAsia="it-IT"/>
              </w:rPr>
              <w:br/>
              <w:t>quote di capitale dei prestiti e dei mutui ad essi erogati e registrati, al</w:t>
            </w:r>
            <w:r w:rsidRPr="009854B1">
              <w:rPr>
                <w:rFonts w:ascii="Calibri" w:eastAsia="Times New Roman" w:hAnsi="Calibri" w:cs="Arial"/>
                <w:sz w:val="22"/>
                <w:szCs w:val="22"/>
                <w:lang w:eastAsia="it-IT"/>
              </w:rPr>
              <w:br/>
              <w:t>momento della concessione, nella voce “Concessione di crediti e</w:t>
            </w:r>
            <w:r w:rsidRPr="009854B1">
              <w:rPr>
                <w:rFonts w:ascii="Calibri" w:eastAsia="Times New Roman" w:hAnsi="Calibri" w:cs="Arial"/>
                <w:sz w:val="22"/>
                <w:szCs w:val="22"/>
                <w:lang w:eastAsia="it-IT"/>
              </w:rPr>
              <w:br/>
              <w:t>anticipazioni”; incassi derivanti dalla cessione a terzi dei medesimi</w:t>
            </w:r>
            <w:r w:rsidRPr="009854B1">
              <w:rPr>
                <w:rFonts w:ascii="Calibri" w:eastAsia="Times New Roman" w:hAnsi="Calibri" w:cs="Arial"/>
                <w:sz w:val="22"/>
                <w:szCs w:val="22"/>
                <w:lang w:eastAsia="it-IT"/>
              </w:rPr>
              <w:br/>
              <w:t>strumenti di credito.</w:t>
            </w:r>
          </w:p>
        </w:tc>
      </w:tr>
      <w:tr w:rsidR="003C4B65" w:rsidRPr="003C4B65" w14:paraId="7F48E987" w14:textId="77777777" w:rsidTr="0088033B">
        <w:trPr>
          <w:trHeight w:val="620"/>
          <w:jc w:val="center"/>
        </w:trPr>
        <w:tc>
          <w:tcPr>
            <w:tcW w:w="1558" w:type="pct"/>
            <w:tcBorders>
              <w:top w:val="single" w:sz="4" w:space="0" w:color="auto"/>
              <w:left w:val="single" w:sz="4" w:space="0" w:color="000000"/>
              <w:bottom w:val="single" w:sz="4" w:space="0" w:color="000000"/>
              <w:right w:val="single" w:sz="4" w:space="0" w:color="000000"/>
            </w:tcBorders>
            <w:shd w:val="clear" w:color="auto" w:fill="auto"/>
            <w:noWrap/>
            <w:hideMark/>
          </w:tcPr>
          <w:p w14:paraId="16A4D89E" w14:textId="77777777" w:rsidR="003C4B65" w:rsidRPr="009854B1" w:rsidRDefault="003C4B65" w:rsidP="003C4B65">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4. Altre entrate in conto capitale</w:t>
            </w:r>
          </w:p>
        </w:tc>
        <w:tc>
          <w:tcPr>
            <w:tcW w:w="3442" w:type="pct"/>
            <w:tcBorders>
              <w:top w:val="single" w:sz="4" w:space="0" w:color="auto"/>
              <w:left w:val="nil"/>
              <w:bottom w:val="single" w:sz="4" w:space="0" w:color="000000"/>
              <w:right w:val="single" w:sz="4" w:space="0" w:color="000000"/>
            </w:tcBorders>
            <w:shd w:val="clear" w:color="auto" w:fill="auto"/>
            <w:hideMark/>
          </w:tcPr>
          <w:p w14:paraId="4D16D07B"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Voci di entrata in conto capitale che non trovano collocazione in alcuna</w:t>
            </w:r>
            <w:r w:rsidRPr="009854B1">
              <w:rPr>
                <w:rFonts w:ascii="Calibri" w:eastAsia="Times New Roman" w:hAnsi="Calibri" w:cs="Arial"/>
                <w:sz w:val="22"/>
                <w:szCs w:val="22"/>
                <w:lang w:eastAsia="it-IT"/>
              </w:rPr>
              <w:br/>
              <w:t>delle precedenti sezioni.</w:t>
            </w:r>
          </w:p>
        </w:tc>
      </w:tr>
      <w:tr w:rsidR="003C4B65" w:rsidRPr="003C4B65" w14:paraId="66E2241D" w14:textId="77777777" w:rsidTr="00434622">
        <w:trPr>
          <w:trHeight w:val="431"/>
          <w:jc w:val="center"/>
        </w:trPr>
        <w:tc>
          <w:tcPr>
            <w:tcW w:w="1558" w:type="pct"/>
            <w:tcBorders>
              <w:top w:val="nil"/>
              <w:left w:val="single" w:sz="4" w:space="0" w:color="000000"/>
              <w:bottom w:val="single" w:sz="4" w:space="0" w:color="000000"/>
              <w:right w:val="single" w:sz="4" w:space="0" w:color="000000"/>
            </w:tcBorders>
            <w:shd w:val="clear" w:color="auto" w:fill="auto"/>
            <w:noWrap/>
            <w:hideMark/>
          </w:tcPr>
          <w:p w14:paraId="2B33E0FF" w14:textId="77777777" w:rsidR="003C4B65" w:rsidRPr="003C4B65" w:rsidRDefault="003C4B65" w:rsidP="003C4B65">
            <w:pPr>
              <w:rPr>
                <w:rFonts w:ascii="Calibri" w:eastAsia="Times New Roman" w:hAnsi="Calibri" w:cs="Arial"/>
                <w:b/>
                <w:bCs/>
                <w:sz w:val="16"/>
                <w:szCs w:val="16"/>
                <w:lang w:eastAsia="it-IT"/>
              </w:rPr>
            </w:pPr>
            <w:r w:rsidRPr="009854B1">
              <w:rPr>
                <w:rFonts w:ascii="Calibri" w:eastAsia="Times New Roman" w:hAnsi="Calibri" w:cs="Arial"/>
                <w:b/>
                <w:bCs/>
                <w:sz w:val="22"/>
                <w:szCs w:val="22"/>
                <w:lang w:eastAsia="it-IT"/>
              </w:rPr>
              <w:t>Entrate da accensione prestiti</w:t>
            </w:r>
          </w:p>
        </w:tc>
        <w:tc>
          <w:tcPr>
            <w:tcW w:w="3442" w:type="pct"/>
            <w:tcBorders>
              <w:top w:val="nil"/>
              <w:left w:val="nil"/>
              <w:bottom w:val="single" w:sz="4" w:space="0" w:color="000000"/>
              <w:right w:val="single" w:sz="4" w:space="0" w:color="000000"/>
            </w:tcBorders>
            <w:shd w:val="clear" w:color="auto" w:fill="auto"/>
            <w:hideMark/>
          </w:tcPr>
          <w:p w14:paraId="004B6158" w14:textId="77777777" w:rsidR="003C4B65" w:rsidRPr="009854B1" w:rsidRDefault="003C4B65"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Somme ricevute a seguito di accensione di mutui, anticipazioni ed altri</w:t>
            </w:r>
            <w:r w:rsidRPr="009854B1">
              <w:rPr>
                <w:rFonts w:ascii="Calibri" w:eastAsia="Times New Roman" w:hAnsi="Calibri" w:cs="Arial"/>
                <w:sz w:val="22"/>
                <w:szCs w:val="22"/>
                <w:lang w:eastAsia="it-IT"/>
              </w:rPr>
              <w:br/>
              <w:t>debiti verso terzi.</w:t>
            </w:r>
          </w:p>
        </w:tc>
      </w:tr>
      <w:tr w:rsidR="00865467" w:rsidRPr="00865467" w14:paraId="3BAA2EEF" w14:textId="77777777" w:rsidTr="007345F1">
        <w:trPr>
          <w:trHeight w:val="310"/>
          <w:jc w:val="center"/>
        </w:trPr>
        <w:tc>
          <w:tcPr>
            <w:tcW w:w="5000" w:type="pct"/>
            <w:gridSpan w:val="2"/>
            <w:tcBorders>
              <w:top w:val="nil"/>
              <w:left w:val="nil"/>
              <w:bottom w:val="nil"/>
              <w:right w:val="nil"/>
            </w:tcBorders>
            <w:shd w:val="clear" w:color="auto" w:fill="auto"/>
            <w:vAlign w:val="center"/>
            <w:hideMark/>
          </w:tcPr>
          <w:p w14:paraId="0C9060C1" w14:textId="77777777" w:rsidR="009854B1" w:rsidRPr="00434622" w:rsidRDefault="009854B1" w:rsidP="007345F1">
            <w:pPr>
              <w:jc w:val="center"/>
              <w:rPr>
                <w:rFonts w:ascii="Calibri" w:eastAsia="Times New Roman" w:hAnsi="Calibri" w:cs="Arial"/>
                <w:b/>
                <w:bCs/>
                <w:sz w:val="22"/>
                <w:szCs w:val="22"/>
                <w:lang w:eastAsia="it-IT"/>
              </w:rPr>
            </w:pPr>
          </w:p>
          <w:p w14:paraId="19DC836A" w14:textId="77777777" w:rsidR="00865467" w:rsidRPr="00434622" w:rsidRDefault="00865467" w:rsidP="007345F1">
            <w:pPr>
              <w:jc w:val="center"/>
              <w:rPr>
                <w:rFonts w:ascii="Calibri" w:eastAsia="Times New Roman" w:hAnsi="Calibri" w:cs="Arial"/>
                <w:b/>
                <w:bCs/>
                <w:sz w:val="22"/>
                <w:szCs w:val="22"/>
                <w:lang w:eastAsia="it-IT"/>
              </w:rPr>
            </w:pPr>
            <w:r w:rsidRPr="00434622">
              <w:rPr>
                <w:rFonts w:ascii="Calibri" w:eastAsia="Times New Roman" w:hAnsi="Calibri" w:cs="Arial"/>
                <w:b/>
                <w:bCs/>
                <w:sz w:val="22"/>
                <w:szCs w:val="22"/>
                <w:lang w:eastAsia="it-IT"/>
              </w:rPr>
              <w:t>GLOSSARIO DELLE SPESE</w:t>
            </w:r>
          </w:p>
        </w:tc>
      </w:tr>
      <w:tr w:rsidR="00865467" w:rsidRPr="00865467" w14:paraId="2D1921CC" w14:textId="77777777" w:rsidTr="007345F1">
        <w:trPr>
          <w:trHeight w:val="310"/>
          <w:jc w:val="center"/>
        </w:trPr>
        <w:tc>
          <w:tcPr>
            <w:tcW w:w="1558" w:type="pct"/>
            <w:tcBorders>
              <w:top w:val="nil"/>
              <w:left w:val="nil"/>
              <w:bottom w:val="nil"/>
              <w:right w:val="nil"/>
            </w:tcBorders>
            <w:shd w:val="clear" w:color="auto" w:fill="auto"/>
            <w:vAlign w:val="center"/>
            <w:hideMark/>
          </w:tcPr>
          <w:p w14:paraId="0AD74DDC" w14:textId="77777777" w:rsidR="00865467" w:rsidRPr="00865467" w:rsidRDefault="00865467" w:rsidP="007345F1">
            <w:pPr>
              <w:jc w:val="center"/>
              <w:rPr>
                <w:rFonts w:asciiTheme="minorHAnsi" w:eastAsia="Times New Roman" w:hAnsiTheme="minorHAnsi" w:cs="Arial"/>
                <w:sz w:val="16"/>
                <w:szCs w:val="16"/>
                <w:lang w:eastAsia="it-IT"/>
              </w:rPr>
            </w:pPr>
          </w:p>
        </w:tc>
        <w:tc>
          <w:tcPr>
            <w:tcW w:w="3442" w:type="pct"/>
            <w:tcBorders>
              <w:top w:val="nil"/>
              <w:left w:val="nil"/>
              <w:bottom w:val="nil"/>
              <w:right w:val="nil"/>
            </w:tcBorders>
            <w:shd w:val="clear" w:color="auto" w:fill="auto"/>
            <w:vAlign w:val="center"/>
            <w:hideMark/>
          </w:tcPr>
          <w:p w14:paraId="00D2ABE5" w14:textId="77777777" w:rsidR="00865467" w:rsidRPr="009854B1" w:rsidRDefault="00865467" w:rsidP="007345F1">
            <w:pPr>
              <w:jc w:val="center"/>
              <w:rPr>
                <w:rFonts w:ascii="Calibri" w:eastAsia="Times New Roman" w:hAnsi="Calibri" w:cs="Arial"/>
                <w:sz w:val="22"/>
                <w:szCs w:val="22"/>
                <w:lang w:eastAsia="it-IT"/>
              </w:rPr>
            </w:pPr>
          </w:p>
        </w:tc>
      </w:tr>
      <w:tr w:rsidR="0089509E" w:rsidRPr="00865467" w14:paraId="74BEECFB" w14:textId="77777777" w:rsidTr="00676A84">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4C07" w14:textId="77777777" w:rsidR="0089509E" w:rsidRPr="009854B1" w:rsidRDefault="0089509E"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VOCI DI SPESA</w:t>
            </w:r>
          </w:p>
        </w:tc>
        <w:tc>
          <w:tcPr>
            <w:tcW w:w="3442" w:type="pct"/>
            <w:vMerge w:val="restart"/>
            <w:tcBorders>
              <w:top w:val="single" w:sz="4" w:space="0" w:color="auto"/>
              <w:left w:val="nil"/>
              <w:right w:val="single" w:sz="4" w:space="0" w:color="auto"/>
            </w:tcBorders>
            <w:shd w:val="clear" w:color="auto" w:fill="auto"/>
            <w:noWrap/>
            <w:vAlign w:val="center"/>
            <w:hideMark/>
          </w:tcPr>
          <w:p w14:paraId="7C9B815E" w14:textId="77777777" w:rsidR="0089509E" w:rsidRPr="00434622" w:rsidRDefault="0089509E" w:rsidP="007345F1">
            <w:pPr>
              <w:jc w:val="center"/>
              <w:rPr>
                <w:rFonts w:ascii="Calibri" w:eastAsia="Times New Roman" w:hAnsi="Calibri" w:cs="Arial"/>
                <w:b/>
                <w:bCs/>
                <w:sz w:val="22"/>
                <w:szCs w:val="22"/>
                <w:lang w:eastAsia="it-IT"/>
              </w:rPr>
            </w:pPr>
            <w:r w:rsidRPr="00434622">
              <w:rPr>
                <w:rFonts w:ascii="Calibri" w:eastAsia="Times New Roman" w:hAnsi="Calibri" w:cs="Arial"/>
                <w:b/>
                <w:bCs/>
                <w:sz w:val="22"/>
                <w:szCs w:val="22"/>
                <w:lang w:eastAsia="it-IT"/>
              </w:rPr>
              <w:t>DESCRIZIONE</w:t>
            </w:r>
          </w:p>
        </w:tc>
      </w:tr>
      <w:tr w:rsidR="0089509E" w:rsidRPr="00865467" w14:paraId="5B6D5EC6" w14:textId="77777777" w:rsidTr="00676A84">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5B964082" w14:textId="77777777" w:rsidR="0089509E" w:rsidRPr="009854B1" w:rsidRDefault="0089509E"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SPESE CORRENTI</w:t>
            </w:r>
          </w:p>
        </w:tc>
        <w:tc>
          <w:tcPr>
            <w:tcW w:w="3442" w:type="pct"/>
            <w:vMerge/>
            <w:tcBorders>
              <w:left w:val="nil"/>
              <w:bottom w:val="single" w:sz="4" w:space="0" w:color="auto"/>
              <w:right w:val="single" w:sz="4" w:space="0" w:color="auto"/>
            </w:tcBorders>
            <w:shd w:val="clear" w:color="auto" w:fill="auto"/>
            <w:noWrap/>
            <w:vAlign w:val="center"/>
            <w:hideMark/>
          </w:tcPr>
          <w:p w14:paraId="2E35A7A6" w14:textId="77777777" w:rsidR="0089509E" w:rsidRPr="009854B1" w:rsidRDefault="0089509E" w:rsidP="007345F1">
            <w:pPr>
              <w:jc w:val="center"/>
              <w:rPr>
                <w:rFonts w:ascii="Calibri" w:eastAsia="Times New Roman" w:hAnsi="Calibri" w:cs="Arial"/>
                <w:sz w:val="22"/>
                <w:szCs w:val="22"/>
                <w:lang w:eastAsia="it-IT"/>
              </w:rPr>
            </w:pPr>
          </w:p>
        </w:tc>
      </w:tr>
      <w:tr w:rsidR="00865467" w:rsidRPr="00865467" w14:paraId="177D7C17" w14:textId="77777777" w:rsidTr="00434622">
        <w:trPr>
          <w:trHeight w:val="659"/>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DD9B91C"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1. Spese di personale</w:t>
            </w:r>
          </w:p>
        </w:tc>
        <w:tc>
          <w:tcPr>
            <w:tcW w:w="3442" w:type="pct"/>
            <w:tcBorders>
              <w:top w:val="nil"/>
              <w:left w:val="nil"/>
              <w:bottom w:val="single" w:sz="4" w:space="0" w:color="auto"/>
              <w:right w:val="single" w:sz="4" w:space="0" w:color="auto"/>
            </w:tcBorders>
            <w:shd w:val="clear" w:color="auto" w:fill="auto"/>
            <w:hideMark/>
          </w:tcPr>
          <w:p w14:paraId="749F1F37" w14:textId="77777777" w:rsidR="00865467" w:rsidRPr="009854B1" w:rsidRDefault="00865467"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Retribuzioni lorde al personale in attività, scomponibile in:</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retribuzioni nette, contributi previdenziali e assistenziali a carico</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dell'ente, ritenute erariali,</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compenso per lavoro straordinario,</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compensi speciali, indennità di missione,</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indennità di</w:t>
            </w:r>
            <w:r w:rsidR="009854B1">
              <w:rPr>
                <w:rFonts w:ascii="Calibri" w:eastAsia="Times New Roman" w:hAnsi="Calibri" w:cs="Arial"/>
                <w:sz w:val="22"/>
                <w:szCs w:val="22"/>
                <w:lang w:eastAsia="it-IT"/>
              </w:rPr>
              <w:t xml:space="preserve"> </w:t>
            </w:r>
            <w:r w:rsidRPr="009854B1">
              <w:rPr>
                <w:rFonts w:ascii="Calibri" w:eastAsia="Times New Roman" w:hAnsi="Calibri" w:cs="Arial"/>
                <w:sz w:val="22"/>
                <w:szCs w:val="22"/>
                <w:lang w:eastAsia="it-IT"/>
              </w:rPr>
              <w:t>licenziamento i contributi ai fondi pensione</w:t>
            </w:r>
          </w:p>
        </w:tc>
      </w:tr>
      <w:tr w:rsidR="00865467" w:rsidRPr="00865467" w14:paraId="144B95A0" w14:textId="77777777" w:rsidTr="00434622">
        <w:trPr>
          <w:trHeight w:val="277"/>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40E429D" w14:textId="77777777" w:rsidR="00865467" w:rsidRPr="00865467" w:rsidRDefault="00865467" w:rsidP="00865467">
            <w:pPr>
              <w:rPr>
                <w:rFonts w:asciiTheme="minorHAnsi" w:eastAsia="Times New Roman" w:hAnsiTheme="minorHAnsi" w:cs="Arial"/>
                <w:i/>
                <w:iCs/>
                <w:sz w:val="16"/>
                <w:szCs w:val="16"/>
                <w:lang w:eastAsia="it-IT"/>
              </w:rPr>
            </w:pPr>
            <w:r w:rsidRPr="009854B1">
              <w:rPr>
                <w:rFonts w:ascii="Calibri" w:eastAsia="Times New Roman" w:hAnsi="Calibri" w:cs="Arial"/>
                <w:i/>
                <w:iCs/>
                <w:sz w:val="22"/>
                <w:szCs w:val="22"/>
                <w:lang w:eastAsia="it-IT"/>
              </w:rPr>
              <w:t xml:space="preserve">   1.1 Oneri sociali</w:t>
            </w:r>
          </w:p>
        </w:tc>
        <w:tc>
          <w:tcPr>
            <w:tcW w:w="3442" w:type="pct"/>
            <w:tcBorders>
              <w:top w:val="nil"/>
              <w:left w:val="nil"/>
              <w:bottom w:val="single" w:sz="4" w:space="0" w:color="auto"/>
              <w:right w:val="single" w:sz="4" w:space="0" w:color="auto"/>
            </w:tcBorders>
            <w:shd w:val="clear" w:color="auto" w:fill="auto"/>
            <w:hideMark/>
          </w:tcPr>
          <w:p w14:paraId="721E6D14" w14:textId="77777777" w:rsidR="00865467" w:rsidRPr="009854B1" w:rsidRDefault="00865467"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Dettaglio della categoria precedente che si riferisce ai contributi</w:t>
            </w:r>
            <w:r w:rsidRPr="009854B1">
              <w:rPr>
                <w:rFonts w:ascii="Calibri" w:eastAsia="Times New Roman" w:hAnsi="Calibri" w:cs="Arial"/>
                <w:sz w:val="22"/>
                <w:szCs w:val="22"/>
                <w:lang w:eastAsia="it-IT"/>
              </w:rPr>
              <w:br/>
              <w:t xml:space="preserve">previdenziali ed assistenziali a carico dell'ente. </w:t>
            </w:r>
          </w:p>
        </w:tc>
      </w:tr>
      <w:tr w:rsidR="00865467" w:rsidRPr="00865467" w14:paraId="069F7822" w14:textId="77777777" w:rsidTr="0088033B">
        <w:trPr>
          <w:trHeight w:val="415"/>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32B7CA42" w14:textId="77777777" w:rsidR="00865467" w:rsidRPr="00865467" w:rsidRDefault="00865467" w:rsidP="00865467">
            <w:pPr>
              <w:rPr>
                <w:rFonts w:asciiTheme="minorHAnsi" w:eastAsia="Times New Roman" w:hAnsiTheme="minorHAnsi" w:cs="Arial"/>
                <w:i/>
                <w:iCs/>
                <w:sz w:val="16"/>
                <w:szCs w:val="16"/>
                <w:lang w:eastAsia="it-IT"/>
              </w:rPr>
            </w:pPr>
            <w:r w:rsidRPr="009854B1">
              <w:rPr>
                <w:rFonts w:ascii="Calibri" w:eastAsia="Times New Roman" w:hAnsi="Calibri" w:cs="Arial"/>
                <w:i/>
                <w:iCs/>
                <w:sz w:val="22"/>
                <w:szCs w:val="22"/>
                <w:lang w:eastAsia="it-IT"/>
              </w:rPr>
              <w:t xml:space="preserve">   1.2 Ritenute IRPEF</w:t>
            </w:r>
          </w:p>
        </w:tc>
        <w:tc>
          <w:tcPr>
            <w:tcW w:w="3442" w:type="pct"/>
            <w:tcBorders>
              <w:top w:val="nil"/>
              <w:left w:val="nil"/>
              <w:bottom w:val="single" w:sz="4" w:space="0" w:color="auto"/>
              <w:right w:val="single" w:sz="4" w:space="0" w:color="auto"/>
            </w:tcBorders>
            <w:shd w:val="clear" w:color="auto" w:fill="auto"/>
            <w:hideMark/>
          </w:tcPr>
          <w:p w14:paraId="4FD7031E" w14:textId="77777777" w:rsidR="00865467" w:rsidRPr="009854B1" w:rsidRDefault="00865467" w:rsidP="00434622">
            <w:pPr>
              <w:jc w:val="both"/>
              <w:rPr>
                <w:rFonts w:ascii="Calibri" w:eastAsia="Times New Roman" w:hAnsi="Calibri" w:cs="Arial"/>
                <w:sz w:val="22"/>
                <w:szCs w:val="22"/>
                <w:lang w:eastAsia="it-IT"/>
              </w:rPr>
            </w:pPr>
            <w:r w:rsidRPr="009854B1">
              <w:rPr>
                <w:rFonts w:ascii="Calibri" w:eastAsia="Times New Roman" w:hAnsi="Calibri" w:cs="Arial"/>
                <w:sz w:val="22"/>
                <w:szCs w:val="22"/>
                <w:lang w:eastAsia="it-IT"/>
              </w:rPr>
              <w:t>Dettaglio delle spese di personale generalmente desumibile, nei</w:t>
            </w:r>
            <w:r w:rsidRPr="009854B1">
              <w:rPr>
                <w:rFonts w:ascii="Calibri" w:eastAsia="Times New Roman" w:hAnsi="Calibri" w:cs="Arial"/>
                <w:sz w:val="22"/>
                <w:szCs w:val="22"/>
                <w:lang w:eastAsia="it-IT"/>
              </w:rPr>
              <w:br/>
              <w:t>bilanci degli enti pubblici, nella sezione “Partite di giro”.</w:t>
            </w:r>
          </w:p>
        </w:tc>
      </w:tr>
      <w:tr w:rsidR="00865467" w:rsidRPr="00865467" w14:paraId="6CC02900" w14:textId="77777777" w:rsidTr="0088033B">
        <w:trPr>
          <w:trHeight w:val="825"/>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2ED068D9"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lastRenderedPageBreak/>
              <w:t>2. Spese per acquisto di Beni e Servizi</w:t>
            </w:r>
          </w:p>
        </w:tc>
        <w:tc>
          <w:tcPr>
            <w:tcW w:w="3442" w:type="pct"/>
            <w:tcBorders>
              <w:top w:val="single" w:sz="4" w:space="0" w:color="auto"/>
              <w:left w:val="single" w:sz="4" w:space="0" w:color="auto"/>
              <w:bottom w:val="single" w:sz="4" w:space="0" w:color="auto"/>
              <w:right w:val="single" w:sz="4" w:space="0" w:color="auto"/>
            </w:tcBorders>
            <w:shd w:val="clear" w:color="auto" w:fill="auto"/>
            <w:hideMark/>
          </w:tcPr>
          <w:p w14:paraId="0C532507"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Spesa per l’acquisizione di beni o servizi utilizzati come input nel</w:t>
            </w:r>
            <w:r w:rsidRPr="00434622">
              <w:rPr>
                <w:rFonts w:ascii="Calibri" w:eastAsia="Times New Roman" w:hAnsi="Calibri" w:cs="Arial"/>
                <w:sz w:val="22"/>
                <w:szCs w:val="22"/>
                <w:lang w:eastAsia="it-IT"/>
              </w:rPr>
              <w:br/>
              <w:t>processo di produzione, esclusi quelli aventi natura di capitale</w:t>
            </w:r>
            <w:r w:rsidRPr="00434622">
              <w:rPr>
                <w:rFonts w:ascii="Calibri" w:eastAsia="Times New Roman" w:hAnsi="Calibri" w:cs="Arial"/>
                <w:sz w:val="22"/>
                <w:szCs w:val="22"/>
                <w:lang w:eastAsia="it-IT"/>
              </w:rPr>
              <w:br/>
              <w:t>fisso in quanto utilizzabili nel processo produttivo per un periodo</w:t>
            </w:r>
            <w:r w:rsidRPr="00434622">
              <w:rPr>
                <w:rFonts w:ascii="Calibri" w:eastAsia="Times New Roman" w:hAnsi="Calibri" w:cs="Arial"/>
                <w:sz w:val="22"/>
                <w:szCs w:val="22"/>
                <w:lang w:eastAsia="it-IT"/>
              </w:rPr>
              <w:br/>
              <w:t>superiore all’anno.</w:t>
            </w:r>
          </w:p>
        </w:tc>
      </w:tr>
      <w:tr w:rsidR="00865467" w:rsidRPr="00865467" w14:paraId="5E7672DF" w14:textId="77777777" w:rsidTr="0088033B">
        <w:trPr>
          <w:trHeight w:val="621"/>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22F1CC54"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3. Spese per trasferimenti in conto corrente, distinti in:</w:t>
            </w:r>
          </w:p>
        </w:tc>
        <w:tc>
          <w:tcPr>
            <w:tcW w:w="3442" w:type="pct"/>
            <w:tcBorders>
              <w:top w:val="single" w:sz="4" w:space="0" w:color="auto"/>
              <w:left w:val="nil"/>
              <w:bottom w:val="single" w:sz="4" w:space="0" w:color="auto"/>
              <w:right w:val="single" w:sz="4" w:space="0" w:color="auto"/>
            </w:tcBorders>
            <w:shd w:val="clear" w:color="auto" w:fill="auto"/>
            <w:hideMark/>
          </w:tcPr>
          <w:p w14:paraId="31387893"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Erogazioni unilaterali, ossia che non hanno una diretta</w:t>
            </w:r>
            <w:r w:rsidRPr="00434622">
              <w:rPr>
                <w:rFonts w:ascii="Calibri" w:eastAsia="Times New Roman" w:hAnsi="Calibri" w:cs="Arial"/>
                <w:sz w:val="22"/>
                <w:szCs w:val="22"/>
                <w:lang w:eastAsia="it-IT"/>
              </w:rPr>
              <w:br/>
              <w:t>controprestazione, di natura ricorrente e non aventi finalità di</w:t>
            </w:r>
            <w:r w:rsidRPr="00434622">
              <w:rPr>
                <w:rFonts w:ascii="Calibri" w:eastAsia="Times New Roman" w:hAnsi="Calibri" w:cs="Arial"/>
                <w:sz w:val="22"/>
                <w:szCs w:val="22"/>
                <w:lang w:eastAsia="it-IT"/>
              </w:rPr>
              <w:br/>
              <w:t>sostegno agli investimenti, effettuate a favore di altri enti pubblici</w:t>
            </w:r>
            <w:r w:rsidRPr="00434622">
              <w:rPr>
                <w:rFonts w:ascii="Calibri" w:eastAsia="Times New Roman" w:hAnsi="Calibri" w:cs="Arial"/>
                <w:sz w:val="22"/>
                <w:szCs w:val="22"/>
                <w:lang w:eastAsia="it-IT"/>
              </w:rPr>
              <w:br/>
              <w:t xml:space="preserve">o di privati. </w:t>
            </w:r>
          </w:p>
        </w:tc>
      </w:tr>
      <w:tr w:rsidR="00865467" w:rsidRPr="00865467" w14:paraId="7AF96893" w14:textId="77777777" w:rsidTr="00434622">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121BC31"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famiglie e istituzioni sociali</w:t>
            </w:r>
          </w:p>
        </w:tc>
        <w:tc>
          <w:tcPr>
            <w:tcW w:w="3442" w:type="pct"/>
            <w:vMerge w:val="restart"/>
            <w:tcBorders>
              <w:top w:val="nil"/>
              <w:left w:val="single" w:sz="4" w:space="0" w:color="auto"/>
              <w:bottom w:val="single" w:sz="4" w:space="0" w:color="auto"/>
              <w:right w:val="single" w:sz="4" w:space="0" w:color="auto"/>
            </w:tcBorders>
            <w:shd w:val="clear" w:color="auto" w:fill="auto"/>
            <w:noWrap/>
            <w:hideMark/>
          </w:tcPr>
          <w:p w14:paraId="063D5BDA" w14:textId="77777777" w:rsidR="00865467" w:rsidRPr="00434622" w:rsidRDefault="00434622"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865467" w:rsidRPr="00434622">
              <w:rPr>
                <w:rFonts w:ascii="Calibri" w:eastAsia="Times New Roman" w:hAnsi="Calibri" w:cs="Arial"/>
                <w:b/>
                <w:sz w:val="22"/>
                <w:szCs w:val="22"/>
                <w:lang w:eastAsia="it-IT"/>
              </w:rPr>
              <w:t>edi descrizione voce di spesa corrente n. 3</w:t>
            </w:r>
          </w:p>
        </w:tc>
      </w:tr>
      <w:tr w:rsidR="00865467" w:rsidRPr="00865467" w14:paraId="478E6FBB" w14:textId="77777777" w:rsidTr="00434622">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D2DC572"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imprese private</w:t>
            </w:r>
          </w:p>
        </w:tc>
        <w:tc>
          <w:tcPr>
            <w:tcW w:w="3442" w:type="pct"/>
            <w:vMerge/>
            <w:tcBorders>
              <w:top w:val="nil"/>
              <w:left w:val="single" w:sz="4" w:space="0" w:color="auto"/>
              <w:bottom w:val="single" w:sz="4" w:space="0" w:color="auto"/>
              <w:right w:val="single" w:sz="4" w:space="0" w:color="auto"/>
            </w:tcBorders>
            <w:hideMark/>
          </w:tcPr>
          <w:p w14:paraId="6FFC9288"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138D4495" w14:textId="77777777" w:rsidTr="00434622">
        <w:trPr>
          <w:trHeight w:val="5337"/>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3E612A62"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imprese pubbliche nazionali</w:t>
            </w:r>
          </w:p>
        </w:tc>
        <w:tc>
          <w:tcPr>
            <w:tcW w:w="3442" w:type="pct"/>
            <w:tcBorders>
              <w:top w:val="nil"/>
              <w:left w:val="nil"/>
              <w:bottom w:val="single" w:sz="4" w:space="0" w:color="auto"/>
              <w:right w:val="single" w:sz="4" w:space="0" w:color="auto"/>
            </w:tcBorders>
            <w:shd w:val="clear" w:color="auto" w:fill="auto"/>
            <w:hideMark/>
          </w:tcPr>
          <w:p w14:paraId="30A3B616" w14:textId="77777777" w:rsidR="00865467" w:rsidRPr="00434622" w:rsidRDefault="00865467" w:rsidP="00434622">
            <w:pPr>
              <w:rPr>
                <w:rFonts w:ascii="Calibri" w:eastAsia="Times New Roman" w:hAnsi="Calibri" w:cs="Arial"/>
                <w:sz w:val="22"/>
                <w:szCs w:val="22"/>
                <w:lang w:eastAsia="it-IT"/>
              </w:rPr>
            </w:pPr>
            <w:r w:rsidRPr="00434622">
              <w:rPr>
                <w:rFonts w:ascii="Calibri" w:eastAsia="Times New Roman" w:hAnsi="Calibri" w:cs="Arial"/>
                <w:sz w:val="22"/>
                <w:szCs w:val="22"/>
                <w:lang w:eastAsia="it-IT"/>
              </w:rPr>
              <w:t xml:space="preserve"> -Azienda dei Monopoli di Stato (dal 2013 confluito nell’Agenzia delle Dogane</w:t>
            </w:r>
            <w:r w:rsidRPr="00434622">
              <w:rPr>
                <w:rFonts w:ascii="Calibri" w:eastAsia="Times New Roman" w:hAnsi="Calibri" w:cs="Arial"/>
                <w:sz w:val="22"/>
                <w:szCs w:val="22"/>
                <w:lang w:eastAsia="it-IT"/>
              </w:rPr>
              <w:br/>
              <w:t>e dei Monopoli)</w:t>
            </w:r>
            <w:r w:rsidRPr="00434622">
              <w:rPr>
                <w:rFonts w:ascii="Calibri" w:eastAsia="Times New Roman" w:hAnsi="Calibri" w:cs="Arial"/>
                <w:sz w:val="22"/>
                <w:szCs w:val="22"/>
                <w:lang w:eastAsia="it-IT"/>
              </w:rPr>
              <w:br/>
              <w:t>- Cassa Depositi e Prestiti (dal 2004, anno di trasformazione dell’Ente in</w:t>
            </w:r>
            <w:r w:rsidRPr="00434622">
              <w:rPr>
                <w:rFonts w:ascii="Calibri" w:eastAsia="Times New Roman" w:hAnsi="Calibri" w:cs="Arial"/>
                <w:sz w:val="22"/>
                <w:szCs w:val="22"/>
                <w:lang w:eastAsia="it-IT"/>
              </w:rPr>
              <w:br/>
              <w:t>S.p.A.)</w:t>
            </w:r>
            <w:r w:rsidRPr="00434622">
              <w:rPr>
                <w:rFonts w:ascii="Calibri" w:eastAsia="Times New Roman" w:hAnsi="Calibri" w:cs="Arial"/>
                <w:sz w:val="22"/>
                <w:szCs w:val="22"/>
                <w:lang w:eastAsia="it-IT"/>
              </w:rPr>
              <w:br/>
              <w:t>- Ente Tabacchi Italiano (fino al 2003, anno della completa privatizzazione)</w:t>
            </w:r>
            <w:r w:rsidRPr="00434622">
              <w:rPr>
                <w:rFonts w:ascii="Calibri" w:eastAsia="Times New Roman" w:hAnsi="Calibri" w:cs="Arial"/>
                <w:sz w:val="22"/>
                <w:szCs w:val="22"/>
                <w:lang w:eastAsia="it-IT"/>
              </w:rPr>
              <w:br/>
              <w:t>- ENEL</w:t>
            </w:r>
            <w:r w:rsidRPr="00434622">
              <w:rPr>
                <w:rFonts w:ascii="Calibri" w:eastAsia="Times New Roman" w:hAnsi="Calibri" w:cs="Arial"/>
                <w:sz w:val="22"/>
                <w:szCs w:val="22"/>
                <w:lang w:eastAsia="it-IT"/>
              </w:rPr>
              <w:br/>
              <w:t xml:space="preserve">- Poste Italiane </w:t>
            </w:r>
            <w:proofErr w:type="spellStart"/>
            <w:r w:rsidRPr="00434622">
              <w:rPr>
                <w:rFonts w:ascii="Calibri" w:eastAsia="Times New Roman" w:hAnsi="Calibri" w:cs="Arial"/>
                <w:sz w:val="22"/>
                <w:szCs w:val="22"/>
                <w:lang w:eastAsia="it-IT"/>
              </w:rPr>
              <w:t>S.p.A</w:t>
            </w:r>
            <w:proofErr w:type="spellEnd"/>
            <w:r w:rsidRPr="00434622">
              <w:rPr>
                <w:rFonts w:ascii="Calibri" w:eastAsia="Times New Roman" w:hAnsi="Calibri" w:cs="Arial"/>
                <w:sz w:val="22"/>
                <w:szCs w:val="22"/>
                <w:lang w:eastAsia="it-IT"/>
              </w:rPr>
              <w:br/>
              <w:t>- Ferrovie dello Stato</w:t>
            </w:r>
            <w:r w:rsidRPr="00434622">
              <w:rPr>
                <w:rFonts w:ascii="Calibri" w:eastAsia="Times New Roman" w:hAnsi="Calibri" w:cs="Arial"/>
                <w:sz w:val="22"/>
                <w:szCs w:val="22"/>
                <w:lang w:eastAsia="it-IT"/>
              </w:rPr>
              <w:br/>
              <w:t>- ENI</w:t>
            </w:r>
            <w:r w:rsidRPr="00434622">
              <w:rPr>
                <w:rFonts w:ascii="Calibri" w:eastAsia="Times New Roman" w:hAnsi="Calibri" w:cs="Arial"/>
                <w:sz w:val="22"/>
                <w:szCs w:val="22"/>
                <w:lang w:eastAsia="it-IT"/>
              </w:rPr>
              <w:br/>
              <w:t>- ACI</w:t>
            </w:r>
            <w:r w:rsidRPr="00434622">
              <w:rPr>
                <w:rFonts w:ascii="Calibri" w:eastAsia="Times New Roman" w:hAnsi="Calibri" w:cs="Arial"/>
                <w:sz w:val="22"/>
                <w:szCs w:val="22"/>
                <w:lang w:eastAsia="it-IT"/>
              </w:rPr>
              <w:br/>
              <w:t>- Aziende ex IRI (Aeroporti di Roma, Alitalia, Finmeccanica, Fintecna, RAI)</w:t>
            </w:r>
            <w:r w:rsidRPr="00434622">
              <w:rPr>
                <w:rFonts w:ascii="Calibri" w:eastAsia="Times New Roman" w:hAnsi="Calibri" w:cs="Arial"/>
                <w:sz w:val="22"/>
                <w:szCs w:val="22"/>
                <w:lang w:eastAsia="it-IT"/>
              </w:rPr>
              <w:br/>
              <w:t>- ENAV (dal 2001, anno di trasformazione dell’Ente in S.p.A.)</w:t>
            </w:r>
            <w:r w:rsidRPr="00434622">
              <w:rPr>
                <w:rFonts w:ascii="Calibri" w:eastAsia="Times New Roman" w:hAnsi="Calibri" w:cs="Arial"/>
                <w:sz w:val="22"/>
                <w:szCs w:val="22"/>
                <w:lang w:eastAsia="it-IT"/>
              </w:rPr>
              <w:br/>
              <w:t>- GSE (Gestore Servizi Elettrici, ex GRTN)</w:t>
            </w:r>
            <w:r w:rsidRPr="00434622">
              <w:rPr>
                <w:rFonts w:ascii="Calibri" w:eastAsia="Times New Roman" w:hAnsi="Calibri" w:cs="Arial"/>
                <w:sz w:val="22"/>
                <w:szCs w:val="22"/>
                <w:lang w:eastAsia="it-IT"/>
              </w:rPr>
              <w:br/>
              <w:t>- Terna Rete Elettrica Nazionale</w:t>
            </w:r>
            <w:r w:rsidRPr="00434622">
              <w:rPr>
                <w:rFonts w:ascii="Calibri" w:eastAsia="Times New Roman" w:hAnsi="Calibri" w:cs="Arial"/>
                <w:sz w:val="22"/>
                <w:szCs w:val="22"/>
                <w:lang w:eastAsia="it-IT"/>
              </w:rPr>
              <w:br/>
              <w:t>- Infrastrutture S.p.A. (fino al 2005: dal 2006 è incorporata in Cassa</w:t>
            </w:r>
            <w:r w:rsidRPr="00434622">
              <w:rPr>
                <w:rFonts w:ascii="Calibri" w:eastAsia="Times New Roman" w:hAnsi="Calibri" w:cs="Arial"/>
                <w:sz w:val="22"/>
                <w:szCs w:val="22"/>
                <w:lang w:eastAsia="it-IT"/>
              </w:rPr>
              <w:br/>
              <w:t>Depositi e Prestiti)</w:t>
            </w:r>
            <w:r w:rsidRPr="00434622">
              <w:rPr>
                <w:rFonts w:ascii="Calibri" w:eastAsia="Times New Roman" w:hAnsi="Calibri" w:cs="Arial"/>
                <w:sz w:val="22"/>
                <w:szCs w:val="22"/>
                <w:lang w:eastAsia="it-IT"/>
              </w:rPr>
              <w:br/>
              <w:t>- Italia Lavoro</w:t>
            </w:r>
            <w:r w:rsidRPr="00434622">
              <w:rPr>
                <w:rFonts w:ascii="Calibri" w:eastAsia="Times New Roman" w:hAnsi="Calibri" w:cs="Arial"/>
                <w:sz w:val="22"/>
                <w:szCs w:val="22"/>
                <w:lang w:eastAsia="it-IT"/>
              </w:rPr>
              <w:br/>
              <w:t>- SIMEST (Società Italiana per le Imprese all’Estero)</w:t>
            </w:r>
            <w:r w:rsidRPr="00434622">
              <w:rPr>
                <w:rFonts w:ascii="Calibri" w:eastAsia="Times New Roman" w:hAnsi="Calibri" w:cs="Arial"/>
                <w:sz w:val="22"/>
                <w:szCs w:val="22"/>
                <w:lang w:eastAsia="it-IT"/>
              </w:rPr>
              <w:br/>
              <w:t>- SOGESID (Società Gestione Impianti Idrici)</w:t>
            </w:r>
            <w:r w:rsidRPr="00434622">
              <w:rPr>
                <w:rFonts w:ascii="Calibri" w:eastAsia="Times New Roman" w:hAnsi="Calibri" w:cs="Arial"/>
                <w:sz w:val="22"/>
                <w:szCs w:val="22"/>
                <w:lang w:eastAsia="it-IT"/>
              </w:rPr>
              <w:br/>
              <w:t>- SOGIN (Società Gestione Impianti Nucleari)</w:t>
            </w:r>
            <w:r w:rsidRPr="00434622">
              <w:rPr>
                <w:rFonts w:ascii="Calibri" w:eastAsia="Times New Roman" w:hAnsi="Calibri" w:cs="Arial"/>
                <w:sz w:val="22"/>
                <w:szCs w:val="22"/>
                <w:lang w:eastAsia="it-IT"/>
              </w:rPr>
              <w:br/>
              <w:t>- Invitalia (ex Sviluppo Italia)</w:t>
            </w:r>
          </w:p>
        </w:tc>
      </w:tr>
      <w:tr w:rsidR="002E6C53" w:rsidRPr="00865467" w14:paraId="1A7818CA"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2D8CD2C2"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enti pubblici, distinti in:</w:t>
            </w:r>
          </w:p>
        </w:tc>
        <w:tc>
          <w:tcPr>
            <w:tcW w:w="3442" w:type="pct"/>
            <w:vMerge w:val="restart"/>
            <w:tcBorders>
              <w:top w:val="nil"/>
              <w:left w:val="single" w:sz="4" w:space="0" w:color="auto"/>
              <w:right w:val="single" w:sz="4" w:space="0" w:color="auto"/>
            </w:tcBorders>
            <w:shd w:val="clear" w:color="auto" w:fill="auto"/>
            <w:noWrap/>
            <w:hideMark/>
          </w:tcPr>
          <w:p w14:paraId="0E7E3306" w14:textId="77777777" w:rsidR="002E6C53" w:rsidRPr="00434622" w:rsidRDefault="002E6C53"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Vedi descrizione voce di spesa corrente n. 3</w:t>
            </w:r>
          </w:p>
        </w:tc>
      </w:tr>
      <w:tr w:rsidR="002E6C53" w:rsidRPr="00865467" w14:paraId="24343998" w14:textId="77777777" w:rsidTr="00C73B87">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C5BCC49"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Stato</w:t>
            </w:r>
          </w:p>
        </w:tc>
        <w:tc>
          <w:tcPr>
            <w:tcW w:w="3442" w:type="pct"/>
            <w:vMerge/>
            <w:tcBorders>
              <w:left w:val="single" w:sz="4" w:space="0" w:color="auto"/>
              <w:right w:val="single" w:sz="4" w:space="0" w:color="auto"/>
            </w:tcBorders>
            <w:shd w:val="clear" w:color="auto" w:fill="auto"/>
            <w:hideMark/>
          </w:tcPr>
          <w:p w14:paraId="38B8CA43"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37DBE870"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2923A1D"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altri enti dell'amministrazione centrale</w:t>
            </w:r>
          </w:p>
        </w:tc>
        <w:tc>
          <w:tcPr>
            <w:tcW w:w="3442" w:type="pct"/>
            <w:vMerge/>
            <w:tcBorders>
              <w:left w:val="single" w:sz="4" w:space="0" w:color="auto"/>
              <w:right w:val="single" w:sz="4" w:space="0" w:color="auto"/>
            </w:tcBorders>
            <w:shd w:val="clear" w:color="auto" w:fill="auto"/>
            <w:hideMark/>
          </w:tcPr>
          <w:p w14:paraId="3ECC1F5C"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44AC2539"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A70DD45"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Regioni e Provincie Autonome</w:t>
            </w:r>
          </w:p>
        </w:tc>
        <w:tc>
          <w:tcPr>
            <w:tcW w:w="3442" w:type="pct"/>
            <w:vMerge/>
            <w:tcBorders>
              <w:left w:val="single" w:sz="4" w:space="0" w:color="auto"/>
              <w:right w:val="single" w:sz="4" w:space="0" w:color="auto"/>
            </w:tcBorders>
            <w:shd w:val="clear" w:color="auto" w:fill="auto"/>
            <w:hideMark/>
          </w:tcPr>
          <w:p w14:paraId="26E5459B"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142DF58C"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1B1CD45A"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Province e Città metropolitane</w:t>
            </w:r>
          </w:p>
        </w:tc>
        <w:tc>
          <w:tcPr>
            <w:tcW w:w="3442" w:type="pct"/>
            <w:vMerge/>
            <w:tcBorders>
              <w:left w:val="single" w:sz="4" w:space="0" w:color="auto"/>
              <w:right w:val="single" w:sz="4" w:space="0" w:color="auto"/>
            </w:tcBorders>
            <w:shd w:val="clear" w:color="auto" w:fill="auto"/>
            <w:hideMark/>
          </w:tcPr>
          <w:p w14:paraId="3C0B2F9A"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4EA4491C"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231C417"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Comuni</w:t>
            </w:r>
          </w:p>
        </w:tc>
        <w:tc>
          <w:tcPr>
            <w:tcW w:w="3442" w:type="pct"/>
            <w:vMerge/>
            <w:tcBorders>
              <w:left w:val="single" w:sz="4" w:space="0" w:color="auto"/>
              <w:right w:val="single" w:sz="4" w:space="0" w:color="auto"/>
            </w:tcBorders>
            <w:shd w:val="clear" w:color="auto" w:fill="auto"/>
            <w:hideMark/>
          </w:tcPr>
          <w:p w14:paraId="0A3C8418"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7B38D4B4"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F95A073"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3.4.6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A.S.L., Aziende ospedaliere e IRCCS</w:t>
            </w:r>
          </w:p>
        </w:tc>
        <w:tc>
          <w:tcPr>
            <w:tcW w:w="3442" w:type="pct"/>
            <w:vMerge/>
            <w:tcBorders>
              <w:left w:val="single" w:sz="4" w:space="0" w:color="auto"/>
              <w:right w:val="single" w:sz="4" w:space="0" w:color="auto"/>
            </w:tcBorders>
            <w:shd w:val="clear" w:color="auto" w:fill="auto"/>
            <w:hideMark/>
          </w:tcPr>
          <w:p w14:paraId="7A39171E"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24EE8946" w14:textId="77777777" w:rsidTr="00C73B87">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E44F281"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3.4.7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Consorzi e Forme associative</w:t>
            </w:r>
          </w:p>
        </w:tc>
        <w:tc>
          <w:tcPr>
            <w:tcW w:w="3442" w:type="pct"/>
            <w:vMerge/>
            <w:tcBorders>
              <w:left w:val="single" w:sz="4" w:space="0" w:color="auto"/>
              <w:right w:val="single" w:sz="4" w:space="0" w:color="auto"/>
            </w:tcBorders>
            <w:shd w:val="clear" w:color="auto" w:fill="auto"/>
            <w:hideMark/>
          </w:tcPr>
          <w:p w14:paraId="4618151B"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1E4883F1" w14:textId="77777777" w:rsidTr="00E8060C">
        <w:trPr>
          <w:trHeight w:val="530"/>
          <w:jc w:val="center"/>
        </w:trPr>
        <w:tc>
          <w:tcPr>
            <w:tcW w:w="1558" w:type="pct"/>
            <w:tcBorders>
              <w:top w:val="nil"/>
              <w:left w:val="single" w:sz="4" w:space="0" w:color="auto"/>
              <w:bottom w:val="single" w:sz="4" w:space="0" w:color="auto"/>
              <w:right w:val="single" w:sz="4" w:space="0" w:color="auto"/>
            </w:tcBorders>
            <w:shd w:val="clear" w:color="auto" w:fill="auto"/>
            <w:hideMark/>
          </w:tcPr>
          <w:p w14:paraId="6E14FB73"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3.4.8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Aziende, Istituzioni, Società e fondazioni partecipate a livello locale</w:t>
            </w:r>
          </w:p>
        </w:tc>
        <w:tc>
          <w:tcPr>
            <w:tcW w:w="3442" w:type="pct"/>
            <w:vMerge/>
            <w:tcBorders>
              <w:left w:val="single" w:sz="4" w:space="0" w:color="auto"/>
              <w:bottom w:val="single" w:sz="4" w:space="0" w:color="auto"/>
              <w:right w:val="single" w:sz="4" w:space="0" w:color="auto"/>
            </w:tcBorders>
            <w:shd w:val="clear" w:color="auto" w:fill="auto"/>
            <w:hideMark/>
          </w:tcPr>
          <w:p w14:paraId="35FF4D62"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249953DD" w14:textId="77777777" w:rsidTr="00E8060C">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5EFA7822"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lastRenderedPageBreak/>
              <w:t xml:space="preserve">         3.4.9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Comunità Montane e altre Unioni di enti locali</w:t>
            </w:r>
          </w:p>
        </w:tc>
        <w:tc>
          <w:tcPr>
            <w:tcW w:w="344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9DFAA69" w14:textId="77777777" w:rsidR="002E6C53" w:rsidRPr="00865467" w:rsidRDefault="002E6C53" w:rsidP="00434622">
            <w:pPr>
              <w:jc w:val="both"/>
              <w:rPr>
                <w:rFonts w:asciiTheme="minorHAnsi" w:eastAsia="Times New Roman" w:hAnsiTheme="minorHAnsi" w:cs="Arial"/>
                <w:sz w:val="16"/>
                <w:szCs w:val="16"/>
                <w:lang w:eastAsia="it-IT"/>
              </w:rPr>
            </w:pPr>
            <w:r w:rsidRPr="00434622">
              <w:rPr>
                <w:rFonts w:ascii="Calibri" w:eastAsia="Times New Roman" w:hAnsi="Calibri" w:cs="Arial"/>
                <w:b/>
                <w:sz w:val="22"/>
                <w:szCs w:val="22"/>
                <w:lang w:eastAsia="it-IT"/>
              </w:rPr>
              <w:t>Vedi descrizione voce di spesa corrente n. 3</w:t>
            </w:r>
          </w:p>
        </w:tc>
      </w:tr>
      <w:tr w:rsidR="002E6C53" w:rsidRPr="00865467" w14:paraId="7937985E" w14:textId="77777777" w:rsidTr="00E8060C">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29331755"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3.4.10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enti dipendenti</w:t>
            </w:r>
          </w:p>
        </w:tc>
        <w:tc>
          <w:tcPr>
            <w:tcW w:w="3442" w:type="pct"/>
            <w:vMerge/>
            <w:tcBorders>
              <w:top w:val="single" w:sz="4" w:space="0" w:color="auto"/>
              <w:left w:val="single" w:sz="4" w:space="0" w:color="auto"/>
              <w:bottom w:val="single" w:sz="4" w:space="0" w:color="auto"/>
              <w:right w:val="single" w:sz="4" w:space="0" w:color="auto"/>
            </w:tcBorders>
            <w:shd w:val="clear" w:color="auto" w:fill="auto"/>
            <w:hideMark/>
          </w:tcPr>
          <w:p w14:paraId="2812EDC0" w14:textId="77777777" w:rsidR="002E6C53" w:rsidRPr="00865467" w:rsidRDefault="002E6C53" w:rsidP="00434622">
            <w:pPr>
              <w:jc w:val="both"/>
              <w:rPr>
                <w:rFonts w:asciiTheme="minorHAnsi" w:eastAsia="Times New Roman" w:hAnsiTheme="minorHAnsi" w:cs="Arial"/>
                <w:sz w:val="16"/>
                <w:szCs w:val="16"/>
                <w:lang w:eastAsia="it-IT"/>
              </w:rPr>
            </w:pPr>
          </w:p>
        </w:tc>
      </w:tr>
      <w:tr w:rsidR="002E6C53" w:rsidRPr="00865467" w14:paraId="6AC0175C" w14:textId="77777777" w:rsidTr="00E8060C">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64DD4223" w14:textId="77777777" w:rsidR="002E6C53" w:rsidRPr="009854B1" w:rsidRDefault="002E6C53"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corrente a altri enti dell'Amministrazione locale</w:t>
            </w:r>
          </w:p>
        </w:tc>
        <w:tc>
          <w:tcPr>
            <w:tcW w:w="3442" w:type="pct"/>
            <w:vMerge/>
            <w:tcBorders>
              <w:top w:val="single" w:sz="4" w:space="0" w:color="auto"/>
              <w:left w:val="single" w:sz="4" w:space="0" w:color="auto"/>
              <w:bottom w:val="single" w:sz="4" w:space="0" w:color="auto"/>
              <w:right w:val="single" w:sz="4" w:space="0" w:color="auto"/>
            </w:tcBorders>
            <w:shd w:val="clear" w:color="auto" w:fill="auto"/>
            <w:hideMark/>
          </w:tcPr>
          <w:p w14:paraId="173F1973" w14:textId="77777777" w:rsidR="002E6C53" w:rsidRPr="00865467" w:rsidRDefault="002E6C53" w:rsidP="00434622">
            <w:pPr>
              <w:jc w:val="both"/>
              <w:rPr>
                <w:rFonts w:asciiTheme="minorHAnsi" w:eastAsia="Times New Roman" w:hAnsiTheme="minorHAnsi" w:cs="Arial"/>
                <w:sz w:val="16"/>
                <w:szCs w:val="16"/>
                <w:lang w:eastAsia="it-IT"/>
              </w:rPr>
            </w:pPr>
          </w:p>
        </w:tc>
      </w:tr>
      <w:tr w:rsidR="00865467" w:rsidRPr="00865467" w14:paraId="45D6FC93" w14:textId="77777777" w:rsidTr="00434622">
        <w:trPr>
          <w:trHeight w:val="429"/>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664D024E"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4. Interessi passivi</w:t>
            </w:r>
          </w:p>
        </w:tc>
        <w:tc>
          <w:tcPr>
            <w:tcW w:w="3442" w:type="pct"/>
            <w:tcBorders>
              <w:top w:val="nil"/>
              <w:left w:val="nil"/>
              <w:bottom w:val="single" w:sz="4" w:space="0" w:color="auto"/>
              <w:right w:val="single" w:sz="4" w:space="0" w:color="auto"/>
            </w:tcBorders>
            <w:shd w:val="clear" w:color="auto" w:fill="auto"/>
            <w:hideMark/>
          </w:tcPr>
          <w:p w14:paraId="335E5B07"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Esborsi per il pagamento di interessi legati a strumenti finanziari</w:t>
            </w:r>
            <w:r w:rsidRPr="00434622">
              <w:rPr>
                <w:rFonts w:ascii="Calibri" w:eastAsia="Times New Roman" w:hAnsi="Calibri" w:cs="Arial"/>
                <w:sz w:val="22"/>
                <w:szCs w:val="22"/>
                <w:lang w:eastAsia="it-IT"/>
              </w:rPr>
              <w:br/>
              <w:t>passivi (prestiti, titoli ed obbligazioni, depositi passivi come quelli</w:t>
            </w:r>
            <w:r w:rsidRPr="00434622">
              <w:rPr>
                <w:rFonts w:ascii="Calibri" w:eastAsia="Times New Roman" w:hAnsi="Calibri" w:cs="Arial"/>
                <w:sz w:val="22"/>
                <w:szCs w:val="22"/>
                <w:lang w:eastAsia="it-IT"/>
              </w:rPr>
              <w:br/>
              <w:t>dello Stato nei confronti degli enti che hanno un deposito presso la Tesoreria Centrale); interessi di mora per ritardato pagamento.</w:t>
            </w:r>
          </w:p>
        </w:tc>
      </w:tr>
      <w:tr w:rsidR="00865467" w:rsidRPr="00865467" w14:paraId="3778A9FB" w14:textId="77777777" w:rsidTr="00434622">
        <w:trPr>
          <w:trHeight w:val="1444"/>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63A475DB"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5. Poste correttive e compensative delle entrate</w:t>
            </w:r>
          </w:p>
        </w:tc>
        <w:tc>
          <w:tcPr>
            <w:tcW w:w="3442" w:type="pct"/>
            <w:tcBorders>
              <w:top w:val="nil"/>
              <w:left w:val="nil"/>
              <w:bottom w:val="single" w:sz="4" w:space="0" w:color="auto"/>
              <w:right w:val="single" w:sz="4" w:space="0" w:color="auto"/>
            </w:tcBorders>
            <w:shd w:val="clear" w:color="auto" w:fill="auto"/>
            <w:hideMark/>
          </w:tcPr>
          <w:p w14:paraId="374A4653"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Spese che rettificano il valore di entrate indebitamente registrate,</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oppure di registrazioni che trovano corrispondenza in entrate</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equivalenti, sia per la natura del titolo che per l'entità dell'importo,</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ma che non costituiscono vere e proprie partite di giro. Tale partita va depurata, qualora siano qui compresi e specificati, degli "ammortamenti", che non rientrano nel conto consolidato,</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trattandosi di poste di natura meramente contabile.</w:t>
            </w:r>
          </w:p>
        </w:tc>
      </w:tr>
      <w:tr w:rsidR="00865467" w:rsidRPr="00865467" w14:paraId="60E2ADA4" w14:textId="77777777" w:rsidTr="00434622">
        <w:trPr>
          <w:trHeight w:val="631"/>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2B1DD521"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6. Somme di parte corrente non attribuibili</w:t>
            </w:r>
          </w:p>
        </w:tc>
        <w:tc>
          <w:tcPr>
            <w:tcW w:w="3442" w:type="pct"/>
            <w:tcBorders>
              <w:top w:val="nil"/>
              <w:left w:val="nil"/>
              <w:bottom w:val="single" w:sz="4" w:space="0" w:color="auto"/>
              <w:right w:val="single" w:sz="4" w:space="0" w:color="auto"/>
            </w:tcBorders>
            <w:shd w:val="clear" w:color="auto" w:fill="auto"/>
            <w:hideMark/>
          </w:tcPr>
          <w:p w14:paraId="32862FC0"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Voci di spesa corrente che non trovano collocazione in alcuna delle precedenti sezioni. Rientrano in questa voce, ad esempio, i</w:t>
            </w:r>
            <w:r w:rsidRPr="00434622">
              <w:rPr>
                <w:rFonts w:ascii="Calibri" w:eastAsia="Times New Roman" w:hAnsi="Calibri" w:cs="Arial"/>
                <w:sz w:val="22"/>
                <w:szCs w:val="22"/>
                <w:lang w:eastAsia="it-IT"/>
              </w:rPr>
              <w:br/>
              <w:t>pagamenti di imposte e tasse.</w:t>
            </w:r>
          </w:p>
        </w:tc>
      </w:tr>
      <w:tr w:rsidR="00865467" w:rsidRPr="00865467" w14:paraId="42E9033E" w14:textId="77777777" w:rsidTr="007345F1">
        <w:trPr>
          <w:trHeight w:val="310"/>
          <w:jc w:val="center"/>
        </w:trPr>
        <w:tc>
          <w:tcPr>
            <w:tcW w:w="1558" w:type="pct"/>
            <w:tcBorders>
              <w:top w:val="nil"/>
              <w:left w:val="single" w:sz="4" w:space="0" w:color="000000"/>
              <w:bottom w:val="single" w:sz="4" w:space="0" w:color="000000"/>
              <w:right w:val="single" w:sz="4" w:space="0" w:color="000000"/>
            </w:tcBorders>
            <w:shd w:val="clear" w:color="auto" w:fill="auto"/>
            <w:noWrap/>
            <w:vAlign w:val="center"/>
            <w:hideMark/>
          </w:tcPr>
          <w:p w14:paraId="732C650F" w14:textId="77777777" w:rsidR="00865467" w:rsidRPr="009854B1" w:rsidRDefault="00865467" w:rsidP="007345F1">
            <w:pPr>
              <w:jc w:val="cente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SPESE IN CONTO CAPITALE</w:t>
            </w:r>
          </w:p>
        </w:tc>
        <w:tc>
          <w:tcPr>
            <w:tcW w:w="3442" w:type="pct"/>
            <w:tcBorders>
              <w:top w:val="nil"/>
              <w:left w:val="nil"/>
              <w:bottom w:val="single" w:sz="4" w:space="0" w:color="auto"/>
              <w:right w:val="single" w:sz="4" w:space="0" w:color="auto"/>
            </w:tcBorders>
            <w:shd w:val="clear" w:color="auto" w:fill="auto"/>
            <w:noWrap/>
            <w:vAlign w:val="center"/>
            <w:hideMark/>
          </w:tcPr>
          <w:p w14:paraId="092DF3A7" w14:textId="77777777" w:rsidR="00865467" w:rsidRPr="00865467" w:rsidRDefault="00865467" w:rsidP="007345F1">
            <w:pPr>
              <w:jc w:val="center"/>
              <w:rPr>
                <w:rFonts w:asciiTheme="minorHAnsi" w:eastAsia="Times New Roman" w:hAnsiTheme="minorHAnsi" w:cs="Arial"/>
                <w:sz w:val="16"/>
                <w:szCs w:val="16"/>
                <w:lang w:eastAsia="it-IT"/>
              </w:rPr>
            </w:pPr>
          </w:p>
        </w:tc>
      </w:tr>
      <w:tr w:rsidR="00865467" w:rsidRPr="00865467" w14:paraId="3776EF01" w14:textId="77777777" w:rsidTr="00434622">
        <w:trPr>
          <w:trHeight w:val="1123"/>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02E367F"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1. Beni e opere immobiliari</w:t>
            </w:r>
          </w:p>
        </w:tc>
        <w:tc>
          <w:tcPr>
            <w:tcW w:w="3442" w:type="pct"/>
            <w:tcBorders>
              <w:top w:val="nil"/>
              <w:left w:val="nil"/>
              <w:bottom w:val="single" w:sz="4" w:space="0" w:color="auto"/>
              <w:right w:val="single" w:sz="4" w:space="0" w:color="auto"/>
            </w:tcBorders>
            <w:shd w:val="clear" w:color="auto" w:fill="auto"/>
            <w:hideMark/>
          </w:tcPr>
          <w:p w14:paraId="07ED58DE"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Spese derivanti dalle operazioni di costruzione, manutenzione</w:t>
            </w:r>
            <w:r w:rsidRPr="00434622">
              <w:rPr>
                <w:rFonts w:ascii="Calibri" w:eastAsia="Times New Roman" w:hAnsi="Calibri" w:cs="Arial"/>
                <w:sz w:val="22"/>
                <w:szCs w:val="22"/>
                <w:lang w:eastAsia="it-IT"/>
              </w:rPr>
              <w:br/>
              <w:t>straordinaria (sistemazione, completamento, riadattamento) o</w:t>
            </w:r>
            <w:r w:rsidRPr="00434622">
              <w:rPr>
                <w:rFonts w:ascii="Calibri" w:eastAsia="Times New Roman" w:hAnsi="Calibri" w:cs="Arial"/>
                <w:sz w:val="22"/>
                <w:szCs w:val="22"/>
                <w:lang w:eastAsia="it-IT"/>
              </w:rPr>
              <w:br/>
              <w:t>acquisto di edifici e di altri beni di natura immobiliare quali le</w:t>
            </w:r>
            <w:r w:rsidRPr="00434622">
              <w:rPr>
                <w:rFonts w:ascii="Calibri" w:eastAsia="Times New Roman" w:hAnsi="Calibri" w:cs="Arial"/>
                <w:sz w:val="22"/>
                <w:szCs w:val="22"/>
                <w:lang w:eastAsia="it-IT"/>
              </w:rPr>
              <w:br/>
              <w:t>opere del genio civile (strade, porti, aeroporti, opere di bonifica, di consolidamento abitati, ecc.).</w:t>
            </w:r>
          </w:p>
        </w:tc>
      </w:tr>
      <w:tr w:rsidR="00865467" w:rsidRPr="00865467" w14:paraId="3705C301" w14:textId="77777777" w:rsidTr="00434622">
        <w:trPr>
          <w:trHeight w:val="2524"/>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68BBBD9D"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2. Beni mobili, macchinari, etc.</w:t>
            </w:r>
          </w:p>
        </w:tc>
        <w:tc>
          <w:tcPr>
            <w:tcW w:w="3442" w:type="pct"/>
            <w:tcBorders>
              <w:top w:val="nil"/>
              <w:left w:val="nil"/>
              <w:bottom w:val="single" w:sz="4" w:space="0" w:color="auto"/>
              <w:right w:val="single" w:sz="4" w:space="0" w:color="auto"/>
            </w:tcBorders>
            <w:shd w:val="clear" w:color="auto" w:fill="auto"/>
            <w:hideMark/>
          </w:tcPr>
          <w:p w14:paraId="05660CCD"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Acquisizione diretta di beni mobili (macchine ed attrezzature,</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macchine per ufficio, apparati per le comunicazioni, mobilio, ecc.) attraverso i quali l'ente mira a realizzare finalità d'investimento, utilizzandoli cioè nel processo produttivo per un periodo superiore all’anno. I beni mobili qui iscritti devono pertanto presentare i requisiti della durevolezza e della potenzialità di produrre un reddito oltre l’esercizio contabile. In questo senso rientrano, fra gli altri, l'acquisto di software e alcune spese per la ricerca scientifica.</w:t>
            </w:r>
            <w:r w:rsidRPr="00434622">
              <w:rPr>
                <w:rFonts w:ascii="Calibri" w:eastAsia="Times New Roman" w:hAnsi="Calibri" w:cs="Arial"/>
                <w:sz w:val="22"/>
                <w:szCs w:val="22"/>
                <w:lang w:eastAsia="it-IT"/>
              </w:rPr>
              <w:br/>
              <w:t>Rientra anche l'acquisto di titoli, pubblici o privati, che non mira ad apporti finanziari a società, enti o aziende (i quali rientra invece</w:t>
            </w:r>
            <w:r w:rsidRPr="00434622">
              <w:rPr>
                <w:rFonts w:ascii="Calibri" w:eastAsia="Times New Roman" w:hAnsi="Calibri" w:cs="Arial"/>
                <w:sz w:val="22"/>
                <w:szCs w:val="22"/>
                <w:lang w:eastAsia="it-IT"/>
              </w:rPr>
              <w:br/>
              <w:t>nelle Partecipazioni azionarie) e pertanto non fornisce alcun diritto di proprietà a chi li detiene, ma che costituiscono strumenti</w:t>
            </w:r>
            <w:r w:rsidRPr="00434622">
              <w:rPr>
                <w:rFonts w:ascii="Calibri" w:eastAsia="Times New Roman" w:hAnsi="Calibri" w:cs="Arial"/>
                <w:sz w:val="22"/>
                <w:szCs w:val="22"/>
                <w:lang w:eastAsia="it-IT"/>
              </w:rPr>
              <w:br/>
              <w:t>finanziari fruttiferi.</w:t>
            </w:r>
          </w:p>
        </w:tc>
      </w:tr>
      <w:tr w:rsidR="00865467" w:rsidRPr="00865467" w14:paraId="451C4E0A" w14:textId="77777777" w:rsidTr="00434622">
        <w:trPr>
          <w:trHeight w:val="501"/>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7316CF7B"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3. Spese per trasferimenti in conto capitale, distinte in:</w:t>
            </w:r>
          </w:p>
        </w:tc>
        <w:tc>
          <w:tcPr>
            <w:tcW w:w="3442" w:type="pct"/>
            <w:tcBorders>
              <w:top w:val="nil"/>
              <w:left w:val="nil"/>
              <w:bottom w:val="single" w:sz="4" w:space="0" w:color="auto"/>
              <w:right w:val="single" w:sz="4" w:space="0" w:color="auto"/>
            </w:tcBorders>
            <w:shd w:val="clear" w:color="auto" w:fill="auto"/>
            <w:hideMark/>
          </w:tcPr>
          <w:p w14:paraId="4D22A4E2"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Assegnazioni, contributi e sovvenzioni destinati all'acquisizione di</w:t>
            </w:r>
            <w:r w:rsidRPr="00434622">
              <w:rPr>
                <w:rFonts w:ascii="Calibri" w:eastAsia="Times New Roman" w:hAnsi="Calibri" w:cs="Arial"/>
                <w:sz w:val="22"/>
                <w:szCs w:val="22"/>
                <w:lang w:eastAsia="it-IT"/>
              </w:rPr>
              <w:br/>
              <w:t>beni mobili o all'esecuzione di opere d'investimento. Rientrano in</w:t>
            </w:r>
            <w:r w:rsidRPr="00434622">
              <w:rPr>
                <w:rFonts w:ascii="Calibri" w:eastAsia="Times New Roman" w:hAnsi="Calibri" w:cs="Arial"/>
                <w:sz w:val="22"/>
                <w:szCs w:val="22"/>
                <w:lang w:eastAsia="it-IT"/>
              </w:rPr>
              <w:br/>
              <w:t>questa voce tutte le erogazioni unilaterali aventi natura non</w:t>
            </w:r>
            <w:r w:rsidRPr="00434622">
              <w:rPr>
                <w:rFonts w:ascii="Calibri" w:eastAsia="Times New Roman" w:hAnsi="Calibri" w:cs="Arial"/>
                <w:sz w:val="22"/>
                <w:szCs w:val="22"/>
                <w:lang w:eastAsia="it-IT"/>
              </w:rPr>
              <w:br/>
              <w:t>ricorrente, quali ad esempio i trasferimenti per la copertura di</w:t>
            </w:r>
            <w:r w:rsidRPr="00434622">
              <w:rPr>
                <w:rFonts w:ascii="Calibri" w:eastAsia="Times New Roman" w:hAnsi="Calibri" w:cs="Arial"/>
                <w:sz w:val="22"/>
                <w:szCs w:val="22"/>
                <w:lang w:eastAsia="it-IT"/>
              </w:rPr>
              <w:br/>
              <w:t>perdite d’esercizio accumulate negli anni.</w:t>
            </w:r>
          </w:p>
        </w:tc>
      </w:tr>
      <w:tr w:rsidR="00865467" w:rsidRPr="00865467" w14:paraId="0B0AC4FD" w14:textId="77777777" w:rsidTr="00434622">
        <w:trPr>
          <w:trHeight w:val="31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69EAAA99"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famiglie e istituzioni sociali</w:t>
            </w:r>
          </w:p>
        </w:tc>
        <w:tc>
          <w:tcPr>
            <w:tcW w:w="3442" w:type="pct"/>
            <w:vMerge w:val="restart"/>
            <w:tcBorders>
              <w:top w:val="nil"/>
              <w:left w:val="single" w:sz="4" w:space="0" w:color="auto"/>
              <w:bottom w:val="single" w:sz="4" w:space="0" w:color="auto"/>
              <w:right w:val="single" w:sz="4" w:space="0" w:color="auto"/>
            </w:tcBorders>
            <w:shd w:val="clear" w:color="auto" w:fill="auto"/>
            <w:noWrap/>
            <w:hideMark/>
          </w:tcPr>
          <w:p w14:paraId="6A9FAF08" w14:textId="77777777" w:rsidR="00865467" w:rsidRPr="00434622" w:rsidRDefault="00434622"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865467" w:rsidRPr="00434622">
              <w:rPr>
                <w:rFonts w:ascii="Calibri" w:eastAsia="Times New Roman" w:hAnsi="Calibri" w:cs="Arial"/>
                <w:b/>
                <w:sz w:val="22"/>
                <w:szCs w:val="22"/>
                <w:lang w:eastAsia="it-IT"/>
              </w:rPr>
              <w:t>edi descrizione voce di spesa in conto capitale n. 3</w:t>
            </w:r>
          </w:p>
        </w:tc>
      </w:tr>
      <w:tr w:rsidR="00865467" w:rsidRPr="00865467" w14:paraId="5FC4471B" w14:textId="77777777" w:rsidTr="00E8060C">
        <w:trPr>
          <w:trHeight w:val="7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3733D3C9"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imprese private</w:t>
            </w:r>
          </w:p>
        </w:tc>
        <w:tc>
          <w:tcPr>
            <w:tcW w:w="3442" w:type="pct"/>
            <w:vMerge/>
            <w:tcBorders>
              <w:top w:val="nil"/>
              <w:left w:val="single" w:sz="4" w:space="0" w:color="auto"/>
              <w:bottom w:val="single" w:sz="4" w:space="0" w:color="auto"/>
              <w:right w:val="single" w:sz="4" w:space="0" w:color="auto"/>
            </w:tcBorders>
            <w:hideMark/>
          </w:tcPr>
          <w:p w14:paraId="5A50907F"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072BDEAB" w14:textId="77777777" w:rsidTr="00E8060C">
        <w:trPr>
          <w:trHeight w:val="4809"/>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07E8B107"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lastRenderedPageBreak/>
              <w:t xml:space="preserve">    3.3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imprese pubbliche nazionali</w:t>
            </w:r>
          </w:p>
        </w:tc>
        <w:tc>
          <w:tcPr>
            <w:tcW w:w="3442" w:type="pct"/>
            <w:tcBorders>
              <w:top w:val="single" w:sz="4" w:space="0" w:color="auto"/>
              <w:left w:val="single" w:sz="4" w:space="0" w:color="auto"/>
              <w:bottom w:val="single" w:sz="4" w:space="0" w:color="auto"/>
              <w:right w:val="single" w:sz="4" w:space="0" w:color="auto"/>
            </w:tcBorders>
            <w:shd w:val="clear" w:color="auto" w:fill="auto"/>
            <w:hideMark/>
          </w:tcPr>
          <w:p w14:paraId="04DC0155" w14:textId="77777777" w:rsidR="00865467" w:rsidRPr="00434622" w:rsidRDefault="00865467" w:rsidP="00434622">
            <w:pPr>
              <w:rPr>
                <w:rFonts w:ascii="Calibri" w:eastAsia="Times New Roman" w:hAnsi="Calibri" w:cs="Arial"/>
                <w:sz w:val="22"/>
                <w:szCs w:val="22"/>
                <w:lang w:eastAsia="it-IT"/>
              </w:rPr>
            </w:pPr>
            <w:r w:rsidRPr="00434622">
              <w:rPr>
                <w:rFonts w:ascii="Calibri" w:eastAsia="Times New Roman" w:hAnsi="Calibri" w:cs="Arial"/>
                <w:sz w:val="22"/>
                <w:szCs w:val="22"/>
                <w:lang w:eastAsia="it-IT"/>
              </w:rPr>
              <w:t xml:space="preserve"> -Azienda dei Monopoli di Stato (dal 2013 confluito nell’Agenzia delle Dogane</w:t>
            </w:r>
            <w:r w:rsidRPr="00434622">
              <w:rPr>
                <w:rFonts w:ascii="Calibri" w:eastAsia="Times New Roman" w:hAnsi="Calibri" w:cs="Arial"/>
                <w:sz w:val="22"/>
                <w:szCs w:val="22"/>
                <w:lang w:eastAsia="it-IT"/>
              </w:rPr>
              <w:br/>
              <w:t>e dei Monopoli)</w:t>
            </w:r>
            <w:r w:rsidRPr="00434622">
              <w:rPr>
                <w:rFonts w:ascii="Calibri" w:eastAsia="Times New Roman" w:hAnsi="Calibri" w:cs="Arial"/>
                <w:sz w:val="22"/>
                <w:szCs w:val="22"/>
                <w:lang w:eastAsia="it-IT"/>
              </w:rPr>
              <w:br/>
              <w:t>- Cassa Depositi e Prestiti (dal 2004, anno di trasformazione dell’Ente in</w:t>
            </w:r>
            <w:r w:rsidRPr="00434622">
              <w:rPr>
                <w:rFonts w:ascii="Calibri" w:eastAsia="Times New Roman" w:hAnsi="Calibri" w:cs="Arial"/>
                <w:sz w:val="22"/>
                <w:szCs w:val="22"/>
                <w:lang w:eastAsia="it-IT"/>
              </w:rPr>
              <w:br/>
              <w:t>S.p.A.)</w:t>
            </w:r>
            <w:r w:rsidRPr="00434622">
              <w:rPr>
                <w:rFonts w:ascii="Calibri" w:eastAsia="Times New Roman" w:hAnsi="Calibri" w:cs="Arial"/>
                <w:sz w:val="22"/>
                <w:szCs w:val="22"/>
                <w:lang w:eastAsia="it-IT"/>
              </w:rPr>
              <w:br/>
              <w:t>- Ente Tabacchi Italiano (fino al 2003, anno della completa privatizzazione)</w:t>
            </w:r>
            <w:r w:rsidRPr="00434622">
              <w:rPr>
                <w:rFonts w:ascii="Calibri" w:eastAsia="Times New Roman" w:hAnsi="Calibri" w:cs="Arial"/>
                <w:sz w:val="22"/>
                <w:szCs w:val="22"/>
                <w:lang w:eastAsia="it-IT"/>
              </w:rPr>
              <w:br/>
              <w:t>- ENEL</w:t>
            </w:r>
            <w:r w:rsidRPr="00434622">
              <w:rPr>
                <w:rFonts w:ascii="Calibri" w:eastAsia="Times New Roman" w:hAnsi="Calibri" w:cs="Arial"/>
                <w:sz w:val="22"/>
                <w:szCs w:val="22"/>
                <w:lang w:eastAsia="it-IT"/>
              </w:rPr>
              <w:br/>
              <w:t xml:space="preserve">- Poste Italiane </w:t>
            </w:r>
            <w:proofErr w:type="spellStart"/>
            <w:r w:rsidRPr="00434622">
              <w:rPr>
                <w:rFonts w:ascii="Calibri" w:eastAsia="Times New Roman" w:hAnsi="Calibri" w:cs="Arial"/>
                <w:sz w:val="22"/>
                <w:szCs w:val="22"/>
                <w:lang w:eastAsia="it-IT"/>
              </w:rPr>
              <w:t>S.p.A</w:t>
            </w:r>
            <w:proofErr w:type="spellEnd"/>
            <w:r w:rsidRPr="00434622">
              <w:rPr>
                <w:rFonts w:ascii="Calibri" w:eastAsia="Times New Roman" w:hAnsi="Calibri" w:cs="Arial"/>
                <w:sz w:val="22"/>
                <w:szCs w:val="22"/>
                <w:lang w:eastAsia="it-IT"/>
              </w:rPr>
              <w:br/>
              <w:t>- Ferrovie dello Stato</w:t>
            </w:r>
            <w:r w:rsidRPr="00434622">
              <w:rPr>
                <w:rFonts w:ascii="Calibri" w:eastAsia="Times New Roman" w:hAnsi="Calibri" w:cs="Arial"/>
                <w:sz w:val="22"/>
                <w:szCs w:val="22"/>
                <w:lang w:eastAsia="it-IT"/>
              </w:rPr>
              <w:br/>
              <w:t>- ENI</w:t>
            </w:r>
            <w:r w:rsidRPr="00434622">
              <w:rPr>
                <w:rFonts w:ascii="Calibri" w:eastAsia="Times New Roman" w:hAnsi="Calibri" w:cs="Arial"/>
                <w:sz w:val="22"/>
                <w:szCs w:val="22"/>
                <w:lang w:eastAsia="it-IT"/>
              </w:rPr>
              <w:br/>
              <w:t>- ACI</w:t>
            </w:r>
            <w:r w:rsidRPr="00434622">
              <w:rPr>
                <w:rFonts w:ascii="Calibri" w:eastAsia="Times New Roman" w:hAnsi="Calibri" w:cs="Arial"/>
                <w:sz w:val="22"/>
                <w:szCs w:val="22"/>
                <w:lang w:eastAsia="it-IT"/>
              </w:rPr>
              <w:br/>
              <w:t>- Aziende ex IRI (Aeroporti di Roma, Alitalia, Finmeccanica, Fintecna, RAI)</w:t>
            </w:r>
            <w:r w:rsidRPr="00434622">
              <w:rPr>
                <w:rFonts w:ascii="Calibri" w:eastAsia="Times New Roman" w:hAnsi="Calibri" w:cs="Arial"/>
                <w:sz w:val="22"/>
                <w:szCs w:val="22"/>
                <w:lang w:eastAsia="it-IT"/>
              </w:rPr>
              <w:br/>
              <w:t>- ENAV (dal 2001, anno di trasformazione dell’Ente in S.p.A.)</w:t>
            </w:r>
            <w:r w:rsidRPr="00434622">
              <w:rPr>
                <w:rFonts w:ascii="Calibri" w:eastAsia="Times New Roman" w:hAnsi="Calibri" w:cs="Arial"/>
                <w:sz w:val="22"/>
                <w:szCs w:val="22"/>
                <w:lang w:eastAsia="it-IT"/>
              </w:rPr>
              <w:br/>
              <w:t>- GSE (Gestore Servizi Elettrici, ex GRTN)</w:t>
            </w:r>
            <w:r w:rsidRPr="00434622">
              <w:rPr>
                <w:rFonts w:ascii="Calibri" w:eastAsia="Times New Roman" w:hAnsi="Calibri" w:cs="Arial"/>
                <w:sz w:val="22"/>
                <w:szCs w:val="22"/>
                <w:lang w:eastAsia="it-IT"/>
              </w:rPr>
              <w:br/>
              <w:t>- Terna Rete Elettrica Nazionale</w:t>
            </w:r>
            <w:r w:rsidRPr="00434622">
              <w:rPr>
                <w:rFonts w:ascii="Calibri" w:eastAsia="Times New Roman" w:hAnsi="Calibri" w:cs="Arial"/>
                <w:sz w:val="22"/>
                <w:szCs w:val="22"/>
                <w:lang w:eastAsia="it-IT"/>
              </w:rPr>
              <w:br/>
              <w:t>- Infrastrutture S.p.A. (fino al 2005: dal 2006 è incorporata in Cassa</w:t>
            </w:r>
            <w:r w:rsidRPr="00434622">
              <w:rPr>
                <w:rFonts w:ascii="Calibri" w:eastAsia="Times New Roman" w:hAnsi="Calibri" w:cs="Arial"/>
                <w:sz w:val="22"/>
                <w:szCs w:val="22"/>
                <w:lang w:eastAsia="it-IT"/>
              </w:rPr>
              <w:br/>
              <w:t>Depositi e Prestiti)</w:t>
            </w:r>
            <w:r w:rsidRPr="00434622">
              <w:rPr>
                <w:rFonts w:ascii="Calibri" w:eastAsia="Times New Roman" w:hAnsi="Calibri" w:cs="Arial"/>
                <w:sz w:val="22"/>
                <w:szCs w:val="22"/>
                <w:lang w:eastAsia="it-IT"/>
              </w:rPr>
              <w:br/>
              <w:t>- Italia Lavoro</w:t>
            </w:r>
            <w:r w:rsidRPr="00434622">
              <w:rPr>
                <w:rFonts w:ascii="Calibri" w:eastAsia="Times New Roman" w:hAnsi="Calibri" w:cs="Arial"/>
                <w:sz w:val="22"/>
                <w:szCs w:val="22"/>
                <w:lang w:eastAsia="it-IT"/>
              </w:rPr>
              <w:br/>
              <w:t>- SIMEST (Società Italiana per le Imprese all’Estero)</w:t>
            </w:r>
            <w:r w:rsidRPr="00434622">
              <w:rPr>
                <w:rFonts w:ascii="Calibri" w:eastAsia="Times New Roman" w:hAnsi="Calibri" w:cs="Arial"/>
                <w:sz w:val="22"/>
                <w:szCs w:val="22"/>
                <w:lang w:eastAsia="it-IT"/>
              </w:rPr>
              <w:br/>
              <w:t>- SOGESID (Società Gestione Impianti Idrici)</w:t>
            </w:r>
            <w:r w:rsidRPr="00434622">
              <w:rPr>
                <w:rFonts w:ascii="Calibri" w:eastAsia="Times New Roman" w:hAnsi="Calibri" w:cs="Arial"/>
                <w:sz w:val="22"/>
                <w:szCs w:val="22"/>
                <w:lang w:eastAsia="it-IT"/>
              </w:rPr>
              <w:br/>
              <w:t>- SOGIN (Società Gestione Impianti Nucleari)</w:t>
            </w:r>
            <w:r w:rsidRPr="00434622">
              <w:rPr>
                <w:rFonts w:ascii="Calibri" w:eastAsia="Times New Roman" w:hAnsi="Calibri" w:cs="Arial"/>
                <w:sz w:val="22"/>
                <w:szCs w:val="22"/>
                <w:lang w:eastAsia="it-IT"/>
              </w:rPr>
              <w:br/>
              <w:t>- Invitalia (ex Sviluppo Italia)</w:t>
            </w:r>
          </w:p>
        </w:tc>
      </w:tr>
      <w:tr w:rsidR="00865467" w:rsidRPr="00865467" w14:paraId="3254B538" w14:textId="77777777" w:rsidTr="00E8060C">
        <w:trPr>
          <w:trHeight w:val="310"/>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3909EFDB"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enti pubblici, distinti in:</w:t>
            </w:r>
          </w:p>
        </w:tc>
        <w:tc>
          <w:tcPr>
            <w:tcW w:w="34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D438511" w14:textId="77777777" w:rsidR="00865467" w:rsidRPr="00434622" w:rsidRDefault="00434622" w:rsidP="00434622">
            <w:pPr>
              <w:jc w:val="both"/>
              <w:rPr>
                <w:rFonts w:ascii="Calibri" w:eastAsia="Times New Roman" w:hAnsi="Calibri" w:cs="Arial"/>
                <w:b/>
                <w:sz w:val="22"/>
                <w:szCs w:val="22"/>
                <w:lang w:eastAsia="it-IT"/>
              </w:rPr>
            </w:pPr>
            <w:r w:rsidRPr="00434622">
              <w:rPr>
                <w:rFonts w:ascii="Calibri" w:eastAsia="Times New Roman" w:hAnsi="Calibri" w:cs="Arial"/>
                <w:b/>
                <w:sz w:val="22"/>
                <w:szCs w:val="22"/>
                <w:lang w:eastAsia="it-IT"/>
              </w:rPr>
              <w:t>V</w:t>
            </w:r>
            <w:r w:rsidR="00865467" w:rsidRPr="00434622">
              <w:rPr>
                <w:rFonts w:ascii="Calibri" w:eastAsia="Times New Roman" w:hAnsi="Calibri" w:cs="Arial"/>
                <w:b/>
                <w:sz w:val="22"/>
                <w:szCs w:val="22"/>
                <w:lang w:eastAsia="it-IT"/>
              </w:rPr>
              <w:t>edi descrizione voce di spesa in conto capitale n. 3</w:t>
            </w:r>
          </w:p>
        </w:tc>
      </w:tr>
      <w:tr w:rsidR="00865467" w:rsidRPr="00865467" w14:paraId="39F469E3"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76B8E93A"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Stato</w:t>
            </w:r>
          </w:p>
        </w:tc>
        <w:tc>
          <w:tcPr>
            <w:tcW w:w="3442" w:type="pct"/>
            <w:vMerge/>
            <w:tcBorders>
              <w:top w:val="nil"/>
              <w:left w:val="single" w:sz="4" w:space="0" w:color="auto"/>
              <w:bottom w:val="single" w:sz="4" w:space="0" w:color="auto"/>
              <w:right w:val="single" w:sz="4" w:space="0" w:color="auto"/>
            </w:tcBorders>
            <w:hideMark/>
          </w:tcPr>
          <w:p w14:paraId="2ED845A4"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293A7435"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708F03FA"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3.4.2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altri enti dell'amministrazione centrale</w:t>
            </w:r>
          </w:p>
        </w:tc>
        <w:tc>
          <w:tcPr>
            <w:tcW w:w="3442" w:type="pct"/>
            <w:vMerge/>
            <w:tcBorders>
              <w:top w:val="nil"/>
              <w:left w:val="single" w:sz="4" w:space="0" w:color="auto"/>
              <w:bottom w:val="single" w:sz="4" w:space="0" w:color="auto"/>
              <w:right w:val="single" w:sz="4" w:space="0" w:color="auto"/>
            </w:tcBorders>
            <w:hideMark/>
          </w:tcPr>
          <w:p w14:paraId="399877D8"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3417F694"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288EDD2"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3.4.3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Regioni e Provincie Autonome</w:t>
            </w:r>
          </w:p>
        </w:tc>
        <w:tc>
          <w:tcPr>
            <w:tcW w:w="3442" w:type="pct"/>
            <w:vMerge/>
            <w:tcBorders>
              <w:top w:val="nil"/>
              <w:left w:val="single" w:sz="4" w:space="0" w:color="auto"/>
              <w:bottom w:val="single" w:sz="4" w:space="0" w:color="auto"/>
              <w:right w:val="single" w:sz="4" w:space="0" w:color="auto"/>
            </w:tcBorders>
            <w:hideMark/>
          </w:tcPr>
          <w:p w14:paraId="1A185F97"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513C7CD0"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165B53A0"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3.4.4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Province e Città metropolitane</w:t>
            </w:r>
          </w:p>
        </w:tc>
        <w:tc>
          <w:tcPr>
            <w:tcW w:w="3442" w:type="pct"/>
            <w:vMerge/>
            <w:tcBorders>
              <w:top w:val="nil"/>
              <w:left w:val="single" w:sz="4" w:space="0" w:color="auto"/>
              <w:bottom w:val="single" w:sz="4" w:space="0" w:color="auto"/>
              <w:right w:val="single" w:sz="4" w:space="0" w:color="auto"/>
            </w:tcBorders>
            <w:hideMark/>
          </w:tcPr>
          <w:p w14:paraId="48A3DC05"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39121FF5"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188D1EF7"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3.4.5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Comuni</w:t>
            </w:r>
          </w:p>
        </w:tc>
        <w:tc>
          <w:tcPr>
            <w:tcW w:w="3442" w:type="pct"/>
            <w:vMerge/>
            <w:tcBorders>
              <w:top w:val="nil"/>
              <w:left w:val="single" w:sz="4" w:space="0" w:color="auto"/>
              <w:bottom w:val="single" w:sz="4" w:space="0" w:color="auto"/>
              <w:right w:val="single" w:sz="4" w:space="0" w:color="auto"/>
            </w:tcBorders>
            <w:hideMark/>
          </w:tcPr>
          <w:p w14:paraId="78E9B6AE"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3898D735"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760BF77"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3.4.6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A.S.L., Aziende ospedaliere e IRCCS</w:t>
            </w:r>
          </w:p>
        </w:tc>
        <w:tc>
          <w:tcPr>
            <w:tcW w:w="3442" w:type="pct"/>
            <w:vMerge/>
            <w:tcBorders>
              <w:top w:val="nil"/>
              <w:left w:val="single" w:sz="4" w:space="0" w:color="auto"/>
              <w:bottom w:val="single" w:sz="4" w:space="0" w:color="auto"/>
              <w:right w:val="single" w:sz="4" w:space="0" w:color="auto"/>
            </w:tcBorders>
            <w:hideMark/>
          </w:tcPr>
          <w:p w14:paraId="259DFA52"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35BB9D6C"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5A84E7AA"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3.4.7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Consorzi e Forme associative</w:t>
            </w:r>
          </w:p>
        </w:tc>
        <w:tc>
          <w:tcPr>
            <w:tcW w:w="3442" w:type="pct"/>
            <w:vMerge/>
            <w:tcBorders>
              <w:top w:val="nil"/>
              <w:left w:val="single" w:sz="4" w:space="0" w:color="auto"/>
              <w:bottom w:val="single" w:sz="4" w:space="0" w:color="auto"/>
              <w:right w:val="single" w:sz="4" w:space="0" w:color="auto"/>
            </w:tcBorders>
            <w:hideMark/>
          </w:tcPr>
          <w:p w14:paraId="37B855AD"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30121643" w14:textId="77777777" w:rsidTr="00434622">
        <w:trPr>
          <w:trHeight w:val="520"/>
          <w:jc w:val="center"/>
        </w:trPr>
        <w:tc>
          <w:tcPr>
            <w:tcW w:w="1558" w:type="pct"/>
            <w:tcBorders>
              <w:top w:val="nil"/>
              <w:left w:val="single" w:sz="4" w:space="0" w:color="auto"/>
              <w:bottom w:val="single" w:sz="4" w:space="0" w:color="auto"/>
              <w:right w:val="single" w:sz="4" w:space="0" w:color="auto"/>
            </w:tcBorders>
            <w:shd w:val="clear" w:color="auto" w:fill="auto"/>
            <w:hideMark/>
          </w:tcPr>
          <w:p w14:paraId="79930E53"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3.4.8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Aziende, Istituzioni, Società e fondazioni partecipate a livello locale</w:t>
            </w:r>
          </w:p>
        </w:tc>
        <w:tc>
          <w:tcPr>
            <w:tcW w:w="3442" w:type="pct"/>
            <w:vMerge/>
            <w:tcBorders>
              <w:top w:val="nil"/>
              <w:left w:val="single" w:sz="4" w:space="0" w:color="auto"/>
              <w:bottom w:val="single" w:sz="4" w:space="0" w:color="auto"/>
              <w:right w:val="single" w:sz="4" w:space="0" w:color="auto"/>
            </w:tcBorders>
            <w:hideMark/>
          </w:tcPr>
          <w:p w14:paraId="19997B0B"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63BA9345"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40ECC3D5" w14:textId="77777777" w:rsidR="00865467" w:rsidRPr="009854B1" w:rsidRDefault="00865467" w:rsidP="00434622">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3.4.9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Comunità Montane e altre Unioni di enti locali</w:t>
            </w:r>
          </w:p>
        </w:tc>
        <w:tc>
          <w:tcPr>
            <w:tcW w:w="3442" w:type="pct"/>
            <w:vMerge/>
            <w:tcBorders>
              <w:top w:val="nil"/>
              <w:left w:val="single" w:sz="4" w:space="0" w:color="auto"/>
              <w:bottom w:val="single" w:sz="4" w:space="0" w:color="auto"/>
              <w:right w:val="single" w:sz="4" w:space="0" w:color="auto"/>
            </w:tcBorders>
            <w:hideMark/>
          </w:tcPr>
          <w:p w14:paraId="5621A4C2"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4E3F487B" w14:textId="77777777" w:rsidTr="00434622">
        <w:trPr>
          <w:trHeight w:val="26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07B0B462"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3.4.10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enti dipendenti</w:t>
            </w:r>
          </w:p>
        </w:tc>
        <w:tc>
          <w:tcPr>
            <w:tcW w:w="3442" w:type="pct"/>
            <w:vMerge/>
            <w:tcBorders>
              <w:top w:val="nil"/>
              <w:left w:val="single" w:sz="4" w:space="0" w:color="auto"/>
              <w:bottom w:val="single" w:sz="4" w:space="0" w:color="auto"/>
              <w:right w:val="single" w:sz="4" w:space="0" w:color="auto"/>
            </w:tcBorders>
            <w:hideMark/>
          </w:tcPr>
          <w:p w14:paraId="2104BFD0"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4AE2474F" w14:textId="77777777" w:rsidTr="00E8060C">
        <w:trPr>
          <w:trHeight w:val="70"/>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6CCC802E" w14:textId="77777777" w:rsidR="00865467" w:rsidRPr="009854B1" w:rsidRDefault="00865467" w:rsidP="00865467">
            <w:pPr>
              <w:rPr>
                <w:rFonts w:ascii="Calibri" w:eastAsia="Times New Roman" w:hAnsi="Calibri" w:cs="Arial"/>
                <w:i/>
                <w:iCs/>
                <w:sz w:val="22"/>
                <w:szCs w:val="22"/>
                <w:lang w:eastAsia="it-IT"/>
              </w:rPr>
            </w:pPr>
            <w:r w:rsidRPr="009854B1">
              <w:rPr>
                <w:rFonts w:ascii="Calibri" w:eastAsia="Times New Roman" w:hAnsi="Calibri" w:cs="Arial"/>
                <w:i/>
                <w:iCs/>
                <w:sz w:val="22"/>
                <w:szCs w:val="22"/>
                <w:lang w:eastAsia="it-IT"/>
              </w:rPr>
              <w:t xml:space="preserve">        3.4.11 </w:t>
            </w:r>
            <w:proofErr w:type="spellStart"/>
            <w:r w:rsidRPr="009854B1">
              <w:rPr>
                <w:rFonts w:ascii="Calibri" w:eastAsia="Times New Roman" w:hAnsi="Calibri" w:cs="Arial"/>
                <w:i/>
                <w:iCs/>
                <w:sz w:val="22"/>
                <w:szCs w:val="22"/>
                <w:lang w:eastAsia="it-IT"/>
              </w:rPr>
              <w:t>Trasf</w:t>
            </w:r>
            <w:proofErr w:type="spellEnd"/>
            <w:r w:rsidRPr="009854B1">
              <w:rPr>
                <w:rFonts w:ascii="Calibri" w:eastAsia="Times New Roman" w:hAnsi="Calibri" w:cs="Arial"/>
                <w:i/>
                <w:iCs/>
                <w:sz w:val="22"/>
                <w:szCs w:val="22"/>
                <w:lang w:eastAsia="it-IT"/>
              </w:rPr>
              <w:t>. in conto capitale a altri enti dell'Amministrazione locale</w:t>
            </w:r>
          </w:p>
        </w:tc>
        <w:tc>
          <w:tcPr>
            <w:tcW w:w="3442" w:type="pct"/>
            <w:vMerge/>
            <w:tcBorders>
              <w:top w:val="nil"/>
              <w:left w:val="single" w:sz="4" w:space="0" w:color="auto"/>
              <w:bottom w:val="single" w:sz="4" w:space="0" w:color="auto"/>
              <w:right w:val="single" w:sz="4" w:space="0" w:color="auto"/>
            </w:tcBorders>
            <w:hideMark/>
          </w:tcPr>
          <w:p w14:paraId="7C5E5B52" w14:textId="77777777" w:rsidR="00865467" w:rsidRPr="00865467" w:rsidRDefault="00865467" w:rsidP="00434622">
            <w:pPr>
              <w:jc w:val="both"/>
              <w:rPr>
                <w:rFonts w:asciiTheme="minorHAnsi" w:eastAsia="Times New Roman" w:hAnsiTheme="minorHAnsi" w:cs="Arial"/>
                <w:sz w:val="16"/>
                <w:szCs w:val="16"/>
                <w:lang w:eastAsia="it-IT"/>
              </w:rPr>
            </w:pPr>
          </w:p>
        </w:tc>
      </w:tr>
      <w:tr w:rsidR="00865467" w:rsidRPr="00865467" w14:paraId="4765E299" w14:textId="77777777" w:rsidTr="00E8060C">
        <w:trPr>
          <w:trHeight w:val="1343"/>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65D6788A"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lastRenderedPageBreak/>
              <w:t>4. Partecipazioni azionarie e conferimenti</w:t>
            </w:r>
          </w:p>
        </w:tc>
        <w:tc>
          <w:tcPr>
            <w:tcW w:w="3442" w:type="pct"/>
            <w:tcBorders>
              <w:top w:val="single" w:sz="4" w:space="0" w:color="auto"/>
              <w:left w:val="single" w:sz="4" w:space="0" w:color="auto"/>
              <w:bottom w:val="single" w:sz="4" w:space="0" w:color="auto"/>
              <w:right w:val="single" w:sz="4" w:space="0" w:color="auto"/>
            </w:tcBorders>
            <w:shd w:val="clear" w:color="auto" w:fill="auto"/>
            <w:hideMark/>
          </w:tcPr>
          <w:p w14:paraId="6FDB33FA"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Acquisti di porzioni del capitale di una società per azioni e</w:t>
            </w:r>
            <w:r w:rsidRPr="00434622">
              <w:rPr>
                <w:rFonts w:ascii="Calibri" w:eastAsia="Times New Roman" w:hAnsi="Calibri" w:cs="Arial"/>
                <w:sz w:val="22"/>
                <w:szCs w:val="22"/>
                <w:lang w:eastAsia="it-IT"/>
              </w:rPr>
              <w:br/>
              <w:t>acquisizioni di partecipazioni ottenute mediante apporti finanziari</w:t>
            </w:r>
            <w:r w:rsidRPr="00434622">
              <w:rPr>
                <w:rFonts w:ascii="Calibri" w:eastAsia="Times New Roman" w:hAnsi="Calibri" w:cs="Arial"/>
                <w:sz w:val="22"/>
                <w:szCs w:val="22"/>
                <w:lang w:eastAsia="it-IT"/>
              </w:rPr>
              <w:br/>
              <w:t>al capitale o ai fondi di dotazione di enti, aziende o società di</w:t>
            </w:r>
            <w:r w:rsidRPr="00434622">
              <w:rPr>
                <w:rFonts w:ascii="Calibri" w:eastAsia="Times New Roman" w:hAnsi="Calibri" w:cs="Arial"/>
                <w:sz w:val="22"/>
                <w:szCs w:val="22"/>
                <w:lang w:eastAsia="it-IT"/>
              </w:rPr>
              <w:br/>
              <w:t>natura diversa. Tali strumenti danno diritto a partecipare ai profitti</w:t>
            </w:r>
            <w:r w:rsidRPr="00434622">
              <w:rPr>
                <w:rFonts w:ascii="Calibri" w:eastAsia="Times New Roman" w:hAnsi="Calibri" w:cs="Arial"/>
                <w:sz w:val="22"/>
                <w:szCs w:val="22"/>
                <w:lang w:eastAsia="it-IT"/>
              </w:rPr>
              <w:br/>
              <w:t>delle imprese che li emettono e ad entrare in possesso del</w:t>
            </w:r>
            <w:r w:rsidRPr="00434622">
              <w:rPr>
                <w:rFonts w:ascii="Calibri" w:eastAsia="Times New Roman" w:hAnsi="Calibri" w:cs="Arial"/>
                <w:sz w:val="22"/>
                <w:szCs w:val="22"/>
                <w:lang w:eastAsia="it-IT"/>
              </w:rPr>
              <w:br/>
              <w:t>patrimonio delle stesse in caso di liquidazione.</w:t>
            </w:r>
          </w:p>
        </w:tc>
      </w:tr>
      <w:tr w:rsidR="00865467" w:rsidRPr="00865467" w14:paraId="47BDA165" w14:textId="77777777" w:rsidTr="00E8060C">
        <w:trPr>
          <w:trHeight w:val="1266"/>
          <w:jc w:val="center"/>
        </w:trPr>
        <w:tc>
          <w:tcPr>
            <w:tcW w:w="1558" w:type="pct"/>
            <w:tcBorders>
              <w:top w:val="single" w:sz="4" w:space="0" w:color="auto"/>
              <w:left w:val="single" w:sz="4" w:space="0" w:color="auto"/>
              <w:bottom w:val="single" w:sz="4" w:space="0" w:color="auto"/>
              <w:right w:val="single" w:sz="4" w:space="0" w:color="auto"/>
            </w:tcBorders>
            <w:shd w:val="clear" w:color="auto" w:fill="auto"/>
            <w:noWrap/>
            <w:hideMark/>
          </w:tcPr>
          <w:p w14:paraId="2AB2ED43"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5. Concessioni di crediti, etc.</w:t>
            </w:r>
          </w:p>
        </w:tc>
        <w:tc>
          <w:tcPr>
            <w:tcW w:w="3442" w:type="pct"/>
            <w:tcBorders>
              <w:top w:val="single" w:sz="4" w:space="0" w:color="auto"/>
              <w:left w:val="nil"/>
              <w:bottom w:val="single" w:sz="4" w:space="0" w:color="auto"/>
              <w:right w:val="single" w:sz="4" w:space="0" w:color="auto"/>
            </w:tcBorders>
            <w:shd w:val="clear" w:color="auto" w:fill="auto"/>
            <w:hideMark/>
          </w:tcPr>
          <w:p w14:paraId="2D44E979"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Spese relative alla concessione di mutui, di anticipazioni e, in</w:t>
            </w:r>
            <w:r w:rsidRPr="00434622">
              <w:rPr>
                <w:rFonts w:ascii="Calibri" w:eastAsia="Times New Roman" w:hAnsi="Calibri" w:cs="Arial"/>
                <w:sz w:val="22"/>
                <w:szCs w:val="22"/>
                <w:lang w:eastAsia="it-IT"/>
              </w:rPr>
              <w:br/>
              <w:t>genere, di crediti destinati ad essere utilizzati dai soggetti</w:t>
            </w:r>
            <w:r w:rsidRPr="00434622">
              <w:rPr>
                <w:rFonts w:ascii="Calibri" w:eastAsia="Times New Roman" w:hAnsi="Calibri" w:cs="Arial"/>
                <w:sz w:val="22"/>
                <w:szCs w:val="22"/>
                <w:lang w:eastAsia="it-IT"/>
              </w:rPr>
              <w:br/>
              <w:t>richiedenti per finalità d'investimento. In genere, a differenza dei</w:t>
            </w:r>
            <w:r w:rsidRPr="00434622">
              <w:rPr>
                <w:rFonts w:ascii="Calibri" w:eastAsia="Times New Roman" w:hAnsi="Calibri" w:cs="Arial"/>
                <w:sz w:val="22"/>
                <w:szCs w:val="22"/>
                <w:lang w:eastAsia="it-IT"/>
              </w:rPr>
              <w:br/>
              <w:t>titoli, delle obbligazioni e delle azioni, si tratta di strumenti non</w:t>
            </w:r>
            <w:r w:rsidRPr="00434622">
              <w:rPr>
                <w:rFonts w:ascii="Calibri" w:eastAsia="Times New Roman" w:hAnsi="Calibri" w:cs="Arial"/>
                <w:sz w:val="22"/>
                <w:szCs w:val="22"/>
                <w:lang w:eastAsia="it-IT"/>
              </w:rPr>
              <w:br/>
              <w:t>negoziabili.</w:t>
            </w:r>
          </w:p>
        </w:tc>
      </w:tr>
      <w:tr w:rsidR="00865467" w:rsidRPr="00865467" w14:paraId="15074136" w14:textId="77777777" w:rsidTr="00434622">
        <w:trPr>
          <w:trHeight w:val="323"/>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50E582BF"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6. Somme in conto capitale non attribuibili</w:t>
            </w:r>
          </w:p>
        </w:tc>
        <w:tc>
          <w:tcPr>
            <w:tcW w:w="3442" w:type="pct"/>
            <w:tcBorders>
              <w:top w:val="nil"/>
              <w:left w:val="nil"/>
              <w:bottom w:val="single" w:sz="4" w:space="0" w:color="auto"/>
              <w:right w:val="single" w:sz="4" w:space="0" w:color="auto"/>
            </w:tcBorders>
            <w:shd w:val="clear" w:color="auto" w:fill="auto"/>
            <w:hideMark/>
          </w:tcPr>
          <w:p w14:paraId="0FD5B82D"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Spese in conto capitale che per la loro natura o per la loro</w:t>
            </w:r>
            <w:r w:rsidRPr="00434622">
              <w:rPr>
                <w:rFonts w:ascii="Calibri" w:eastAsia="Times New Roman" w:hAnsi="Calibri" w:cs="Arial"/>
                <w:sz w:val="22"/>
                <w:szCs w:val="22"/>
                <w:lang w:eastAsia="it-IT"/>
              </w:rPr>
              <w:br/>
              <w:t>promiscuità non trovano collocazione nelle categorie precedenti.</w:t>
            </w:r>
          </w:p>
        </w:tc>
      </w:tr>
      <w:tr w:rsidR="00865467" w:rsidRPr="00865467" w14:paraId="329F7D67" w14:textId="77777777" w:rsidTr="00434622">
        <w:trPr>
          <w:trHeight w:val="238"/>
          <w:jc w:val="center"/>
        </w:trPr>
        <w:tc>
          <w:tcPr>
            <w:tcW w:w="1558" w:type="pct"/>
            <w:tcBorders>
              <w:top w:val="nil"/>
              <w:left w:val="single" w:sz="4" w:space="0" w:color="auto"/>
              <w:bottom w:val="single" w:sz="4" w:space="0" w:color="auto"/>
              <w:right w:val="single" w:sz="4" w:space="0" w:color="auto"/>
            </w:tcBorders>
            <w:shd w:val="clear" w:color="auto" w:fill="auto"/>
            <w:noWrap/>
            <w:hideMark/>
          </w:tcPr>
          <w:p w14:paraId="525D6432" w14:textId="77777777" w:rsidR="00865467" w:rsidRPr="009854B1" w:rsidRDefault="00865467" w:rsidP="00865467">
            <w:pPr>
              <w:rPr>
                <w:rFonts w:ascii="Calibri" w:eastAsia="Times New Roman" w:hAnsi="Calibri" w:cs="Arial"/>
                <w:b/>
                <w:bCs/>
                <w:sz w:val="22"/>
                <w:szCs w:val="22"/>
                <w:lang w:eastAsia="it-IT"/>
              </w:rPr>
            </w:pPr>
            <w:r w:rsidRPr="009854B1">
              <w:rPr>
                <w:rFonts w:ascii="Calibri" w:eastAsia="Times New Roman" w:hAnsi="Calibri" w:cs="Arial"/>
                <w:b/>
                <w:bCs/>
                <w:sz w:val="22"/>
                <w:szCs w:val="22"/>
                <w:lang w:eastAsia="it-IT"/>
              </w:rPr>
              <w:t>Spese per rimborso di Prestiti</w:t>
            </w:r>
          </w:p>
        </w:tc>
        <w:tc>
          <w:tcPr>
            <w:tcW w:w="3442" w:type="pct"/>
            <w:tcBorders>
              <w:top w:val="nil"/>
              <w:left w:val="nil"/>
              <w:bottom w:val="single" w:sz="4" w:space="0" w:color="auto"/>
              <w:right w:val="single" w:sz="4" w:space="0" w:color="auto"/>
            </w:tcBorders>
            <w:shd w:val="clear" w:color="auto" w:fill="auto"/>
            <w:hideMark/>
          </w:tcPr>
          <w:p w14:paraId="63D9B91D" w14:textId="77777777" w:rsidR="00865467" w:rsidRPr="00434622" w:rsidRDefault="00865467" w:rsidP="00434622">
            <w:pPr>
              <w:jc w:val="both"/>
              <w:rPr>
                <w:rFonts w:ascii="Calibri" w:eastAsia="Times New Roman" w:hAnsi="Calibri" w:cs="Arial"/>
                <w:sz w:val="22"/>
                <w:szCs w:val="22"/>
                <w:lang w:eastAsia="it-IT"/>
              </w:rPr>
            </w:pPr>
            <w:r w:rsidRPr="00434622">
              <w:rPr>
                <w:rFonts w:ascii="Calibri" w:eastAsia="Times New Roman" w:hAnsi="Calibri" w:cs="Arial"/>
                <w:sz w:val="22"/>
                <w:szCs w:val="22"/>
                <w:lang w:eastAsia="it-IT"/>
              </w:rPr>
              <w:t>Esborsi a titolo di rimborso della quota capitale di mutui,</w:t>
            </w:r>
            <w:r w:rsidR="00434622">
              <w:rPr>
                <w:rFonts w:ascii="Calibri" w:eastAsia="Times New Roman" w:hAnsi="Calibri" w:cs="Arial"/>
                <w:sz w:val="22"/>
                <w:szCs w:val="22"/>
                <w:lang w:eastAsia="it-IT"/>
              </w:rPr>
              <w:t xml:space="preserve"> </w:t>
            </w:r>
            <w:r w:rsidRPr="00434622">
              <w:rPr>
                <w:rFonts w:ascii="Calibri" w:eastAsia="Times New Roman" w:hAnsi="Calibri" w:cs="Arial"/>
                <w:sz w:val="22"/>
                <w:szCs w:val="22"/>
                <w:lang w:eastAsia="it-IT"/>
              </w:rPr>
              <w:t>anticipazioni ed altri debiti verso terzi.</w:t>
            </w:r>
          </w:p>
        </w:tc>
      </w:tr>
    </w:tbl>
    <w:p w14:paraId="2B9AB987" w14:textId="77777777" w:rsidR="003C4B65" w:rsidRDefault="003C4B65" w:rsidP="000764B6">
      <w:pPr>
        <w:spacing w:after="120" w:line="276" w:lineRule="auto"/>
        <w:ind w:firstLine="708"/>
        <w:jc w:val="both"/>
        <w:rPr>
          <w:rFonts w:asciiTheme="minorHAnsi" w:hAnsiTheme="minorHAnsi"/>
          <w:sz w:val="22"/>
          <w:szCs w:val="22"/>
        </w:rPr>
      </w:pPr>
    </w:p>
    <w:p w14:paraId="69CC331A" w14:textId="77777777" w:rsidR="003C4B65" w:rsidRDefault="003C4B65" w:rsidP="000764B6">
      <w:pPr>
        <w:spacing w:after="120" w:line="276" w:lineRule="auto"/>
        <w:ind w:firstLine="708"/>
        <w:jc w:val="both"/>
        <w:rPr>
          <w:rFonts w:asciiTheme="minorHAnsi" w:hAnsiTheme="minorHAnsi"/>
          <w:sz w:val="22"/>
          <w:szCs w:val="22"/>
        </w:rPr>
      </w:pPr>
    </w:p>
    <w:p w14:paraId="59D15C16" w14:textId="77777777" w:rsidR="0043409E" w:rsidRDefault="0043409E" w:rsidP="0003396D">
      <w:pPr>
        <w:spacing w:after="120" w:line="276" w:lineRule="auto"/>
        <w:ind w:firstLine="708"/>
        <w:jc w:val="both"/>
      </w:pPr>
    </w:p>
    <w:sectPr w:rsidR="0043409E" w:rsidSect="002E6C53">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BA28F" w14:textId="77777777" w:rsidR="00AF20D6" w:rsidRDefault="00AF20D6" w:rsidP="00093FC9">
      <w:r>
        <w:separator/>
      </w:r>
    </w:p>
  </w:endnote>
  <w:endnote w:type="continuationSeparator" w:id="0">
    <w:p w14:paraId="5A71F832" w14:textId="77777777" w:rsidR="00AF20D6" w:rsidRDefault="00AF20D6" w:rsidP="0009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BCF2" w14:textId="77777777" w:rsidR="00093FC9" w:rsidRDefault="00093F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44F9B" w14:textId="77777777" w:rsidR="00AF20D6" w:rsidRDefault="00AF20D6" w:rsidP="00093FC9">
      <w:r>
        <w:separator/>
      </w:r>
    </w:p>
  </w:footnote>
  <w:footnote w:type="continuationSeparator" w:id="0">
    <w:p w14:paraId="1BCF089B" w14:textId="77777777" w:rsidR="00AF20D6" w:rsidRDefault="00AF20D6" w:rsidP="00093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064F"/>
    <w:multiLevelType w:val="multilevel"/>
    <w:tmpl w:val="5E16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40552"/>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96D"/>
    <w:rsid w:val="0003396D"/>
    <w:rsid w:val="000764B6"/>
    <w:rsid w:val="00093FC9"/>
    <w:rsid w:val="002E6C53"/>
    <w:rsid w:val="003C4B65"/>
    <w:rsid w:val="00407952"/>
    <w:rsid w:val="0043409E"/>
    <w:rsid w:val="00434622"/>
    <w:rsid w:val="00475188"/>
    <w:rsid w:val="005E2911"/>
    <w:rsid w:val="006162B1"/>
    <w:rsid w:val="007345F1"/>
    <w:rsid w:val="00865467"/>
    <w:rsid w:val="0088033B"/>
    <w:rsid w:val="0089509E"/>
    <w:rsid w:val="009854B1"/>
    <w:rsid w:val="0099269B"/>
    <w:rsid w:val="00995EE6"/>
    <w:rsid w:val="009A2335"/>
    <w:rsid w:val="00A46C77"/>
    <w:rsid w:val="00AF20D6"/>
    <w:rsid w:val="00B03792"/>
    <w:rsid w:val="00C56265"/>
    <w:rsid w:val="00E10A1D"/>
    <w:rsid w:val="00E8060C"/>
    <w:rsid w:val="00E84F6C"/>
    <w:rsid w:val="00F21EBD"/>
    <w:rsid w:val="00FB4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38BD"/>
  <w15:docId w15:val="{B8551D6A-D4AA-4CFE-8F61-EACBF461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396D"/>
    <w:pPr>
      <w:spacing w:after="0" w:line="240" w:lineRule="auto"/>
    </w:pPr>
    <w:rPr>
      <w:rFonts w:ascii="Cambria" w:eastAsia="Cambria" w:hAnsi="Cambria" w:cs="Times New Roman"/>
      <w:sz w:val="24"/>
      <w:szCs w:val="24"/>
    </w:rPr>
  </w:style>
  <w:style w:type="paragraph" w:styleId="Titolo3">
    <w:name w:val="heading 3"/>
    <w:basedOn w:val="Normale"/>
    <w:link w:val="Titolo3Carattere"/>
    <w:uiPriority w:val="9"/>
    <w:qFormat/>
    <w:rsid w:val="00C56265"/>
    <w:pPr>
      <w:spacing w:before="100" w:beforeAutospacing="1" w:after="100" w:afterAutospacing="1"/>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3396D"/>
    <w:rPr>
      <w:color w:val="0000FF"/>
      <w:u w:val="single"/>
    </w:rPr>
  </w:style>
  <w:style w:type="character" w:styleId="Enfasicorsivo">
    <w:name w:val="Emphasis"/>
    <w:basedOn w:val="Carpredefinitoparagrafo"/>
    <w:uiPriority w:val="20"/>
    <w:qFormat/>
    <w:rsid w:val="0003396D"/>
    <w:rPr>
      <w:i/>
      <w:iCs/>
    </w:rPr>
  </w:style>
  <w:style w:type="paragraph" w:styleId="Testofumetto">
    <w:name w:val="Balloon Text"/>
    <w:basedOn w:val="Normale"/>
    <w:link w:val="TestofumettoCarattere"/>
    <w:uiPriority w:val="99"/>
    <w:semiHidden/>
    <w:unhideWhenUsed/>
    <w:rsid w:val="0003396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396D"/>
    <w:rPr>
      <w:rFonts w:ascii="Segoe UI" w:eastAsia="Cambria" w:hAnsi="Segoe UI" w:cs="Segoe UI"/>
      <w:sz w:val="18"/>
      <w:szCs w:val="18"/>
    </w:rPr>
  </w:style>
  <w:style w:type="character" w:customStyle="1" w:styleId="Titolo3Carattere">
    <w:name w:val="Titolo 3 Carattere"/>
    <w:basedOn w:val="Carpredefinitoparagrafo"/>
    <w:link w:val="Titolo3"/>
    <w:uiPriority w:val="9"/>
    <w:rsid w:val="00C56265"/>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unhideWhenUsed/>
    <w:rsid w:val="00093FC9"/>
    <w:pPr>
      <w:tabs>
        <w:tab w:val="center" w:pos="4819"/>
        <w:tab w:val="right" w:pos="9638"/>
      </w:tabs>
    </w:pPr>
  </w:style>
  <w:style w:type="character" w:customStyle="1" w:styleId="IntestazioneCarattere">
    <w:name w:val="Intestazione Carattere"/>
    <w:basedOn w:val="Carpredefinitoparagrafo"/>
    <w:link w:val="Intestazione"/>
    <w:uiPriority w:val="99"/>
    <w:rsid w:val="00093FC9"/>
    <w:rPr>
      <w:rFonts w:ascii="Cambria" w:eastAsia="Cambria" w:hAnsi="Cambria" w:cs="Times New Roman"/>
      <w:sz w:val="24"/>
      <w:szCs w:val="24"/>
    </w:rPr>
  </w:style>
  <w:style w:type="paragraph" w:styleId="Pidipagina">
    <w:name w:val="footer"/>
    <w:basedOn w:val="Normale"/>
    <w:link w:val="PidipaginaCarattere"/>
    <w:uiPriority w:val="99"/>
    <w:unhideWhenUsed/>
    <w:rsid w:val="00093FC9"/>
    <w:pPr>
      <w:tabs>
        <w:tab w:val="center" w:pos="4819"/>
        <w:tab w:val="right" w:pos="9638"/>
      </w:tabs>
    </w:pPr>
  </w:style>
  <w:style w:type="character" w:customStyle="1" w:styleId="PidipaginaCarattere">
    <w:name w:val="Piè di pagina Carattere"/>
    <w:basedOn w:val="Carpredefinitoparagrafo"/>
    <w:link w:val="Pidipagina"/>
    <w:uiPriority w:val="99"/>
    <w:rsid w:val="00093FC9"/>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567962">
      <w:bodyDiv w:val="1"/>
      <w:marLeft w:val="0"/>
      <w:marRight w:val="0"/>
      <w:marTop w:val="0"/>
      <w:marBottom w:val="0"/>
      <w:divBdr>
        <w:top w:val="none" w:sz="0" w:space="0" w:color="auto"/>
        <w:left w:val="none" w:sz="0" w:space="0" w:color="auto"/>
        <w:bottom w:val="none" w:sz="0" w:space="0" w:color="auto"/>
        <w:right w:val="none" w:sz="0" w:space="0" w:color="auto"/>
      </w:divBdr>
    </w:div>
    <w:div w:id="698243150">
      <w:bodyDiv w:val="1"/>
      <w:marLeft w:val="0"/>
      <w:marRight w:val="0"/>
      <w:marTop w:val="0"/>
      <w:marBottom w:val="0"/>
      <w:divBdr>
        <w:top w:val="none" w:sz="0" w:space="0" w:color="auto"/>
        <w:left w:val="none" w:sz="0" w:space="0" w:color="auto"/>
        <w:bottom w:val="none" w:sz="0" w:space="0" w:color="auto"/>
        <w:right w:val="none" w:sz="0" w:space="0" w:color="auto"/>
      </w:divBdr>
    </w:div>
    <w:div w:id="939142645">
      <w:bodyDiv w:val="1"/>
      <w:marLeft w:val="0"/>
      <w:marRight w:val="0"/>
      <w:marTop w:val="0"/>
      <w:marBottom w:val="0"/>
      <w:divBdr>
        <w:top w:val="none" w:sz="0" w:space="0" w:color="auto"/>
        <w:left w:val="none" w:sz="0" w:space="0" w:color="auto"/>
        <w:bottom w:val="none" w:sz="0" w:space="0" w:color="auto"/>
        <w:right w:val="none" w:sz="0" w:space="0" w:color="auto"/>
      </w:divBdr>
    </w:div>
    <w:div w:id="1380324699">
      <w:bodyDiv w:val="1"/>
      <w:marLeft w:val="0"/>
      <w:marRight w:val="0"/>
      <w:marTop w:val="0"/>
      <w:marBottom w:val="0"/>
      <w:divBdr>
        <w:top w:val="none" w:sz="0" w:space="0" w:color="auto"/>
        <w:left w:val="none" w:sz="0" w:space="0" w:color="auto"/>
        <w:bottom w:val="none" w:sz="0" w:space="0" w:color="auto"/>
        <w:right w:val="none" w:sz="0" w:space="0" w:color="auto"/>
      </w:divBdr>
    </w:div>
    <w:div w:id="1900437937">
      <w:bodyDiv w:val="1"/>
      <w:marLeft w:val="0"/>
      <w:marRight w:val="0"/>
      <w:marTop w:val="0"/>
      <w:marBottom w:val="0"/>
      <w:divBdr>
        <w:top w:val="none" w:sz="0" w:space="0" w:color="auto"/>
        <w:left w:val="none" w:sz="0" w:space="0" w:color="auto"/>
        <w:bottom w:val="none" w:sz="0" w:space="0" w:color="auto"/>
        <w:right w:val="none" w:sz="0" w:space="0" w:color="auto"/>
      </w:divBdr>
    </w:div>
    <w:div w:id="20591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2710</Words>
  <Characters>15448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IPRES</dc:creator>
  <cp:lastModifiedBy>Toscano Marino</cp:lastModifiedBy>
  <cp:revision>16</cp:revision>
  <cp:lastPrinted>2018-06-28T16:19:00Z</cp:lastPrinted>
  <dcterms:created xsi:type="dcterms:W3CDTF">2018-06-28T11:34:00Z</dcterms:created>
  <dcterms:modified xsi:type="dcterms:W3CDTF">2020-06-29T12:27:00Z</dcterms:modified>
</cp:coreProperties>
</file>