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7359A7">
        <w:rPr>
          <w:rFonts w:asciiTheme="minorHAnsi" w:hAnsiTheme="minorHAnsi" w:cstheme="minorHAnsi"/>
          <w:sz w:val="22"/>
          <w:szCs w:val="22"/>
        </w:rPr>
        <w:t>na volta operata la riclassificazione della spesa, essa è risultata nuovamente insoddisfacente, per l’eccessiva aggregazione, nella stessa categoria, di interventi – tutti potenzialmente sig</w:t>
      </w:r>
      <w:r>
        <w:rPr>
          <w:rFonts w:asciiTheme="minorHAnsi" w:hAnsiTheme="minorHAnsi" w:cstheme="minorHAnsi"/>
          <w:sz w:val="22"/>
          <w:szCs w:val="22"/>
        </w:rPr>
        <w:t xml:space="preserve">nificativi in ottica di genere - </w:t>
      </w:r>
      <w:r w:rsidRPr="007359A7">
        <w:rPr>
          <w:rFonts w:asciiTheme="minorHAnsi" w:hAnsiTheme="minorHAnsi" w:cstheme="minorHAnsi"/>
          <w:sz w:val="22"/>
          <w:szCs w:val="22"/>
        </w:rPr>
        <w:t>ma con rilevanza diversa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7359A7">
        <w:rPr>
          <w:rFonts w:asciiTheme="minorHAnsi" w:hAnsiTheme="minorHAnsi" w:cstheme="minorHAnsi"/>
          <w:sz w:val="22"/>
          <w:szCs w:val="22"/>
        </w:rPr>
        <w:t>i è dunque deciso di suddividere ulteriormente le categorie di spesa “indiretta” e “di contesto” in maniera tale da evidenziare la maggiore rilevanza di genere.</w:t>
      </w:r>
    </w:p>
    <w:p w:rsidR="00305358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Il momento in cui si è svolta la sperimentazione non ha consentito un’analisi più fine: mancavano ancora per la maggior parte delle azioni esaminate, terminate troppo di recente o ancora in corso, dati di monitoraggio e valutazioni in grado di mostrare l’effettivo coinvolgimento del target femminile e l’impatto che ne è derivato.</w:t>
      </w: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Pr="007359A7">
        <w:rPr>
          <w:rFonts w:asciiTheme="minorHAnsi" w:hAnsiTheme="minorHAnsi" w:cstheme="minorHAnsi"/>
          <w:sz w:val="22"/>
          <w:szCs w:val="22"/>
        </w:rPr>
        <w:t>riclassificazione proposta presenta un duplice vantaggio: evidenzia in modo immediato e intuitivo la larga parte dell’azione regionale potenzialmente di forte impatto sulla popolazione femminile e suggerisce i campi di intervento su cui focalizzare la valutazione di genere ex post, al fine di verificare quanto tale potenziale sia stato effettivamente dispiegato.</w:t>
      </w: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Infine, sono state evidenziate, all’interno delle categorie intermedie – nonché ovviamente in quella ‘diretta’ – criticità di pari opportunità (non necessariamente solo una) cui l’intervento esaminato si rivolge, quali: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Occupazione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Precarietà/stabilizzazione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Segregazione orizzontale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Segregazione verticale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Servizi alle famiglie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Servizi alle persone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Accesso e permanenza istruzione/formazione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Conciliazione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Violenza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Condizione retributiva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Condizione di lavoro</w:t>
      </w:r>
    </w:p>
    <w:p w:rsidR="00305358" w:rsidRPr="007359A7" w:rsidRDefault="00305358" w:rsidP="00305358">
      <w:pPr>
        <w:numPr>
          <w:ilvl w:val="1"/>
          <w:numId w:val="1"/>
        </w:numPr>
        <w:tabs>
          <w:tab w:val="clear" w:pos="1440"/>
          <w:tab w:val="num" w:pos="1260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Altro</w:t>
      </w:r>
    </w:p>
    <w:p w:rsidR="00305358" w:rsidRPr="006E6890" w:rsidRDefault="00305358" w:rsidP="0030535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L’analisi in ottica di genere riguarda generalmente tutte le voci di bilancio ma, per facilitarne la lettura, è stato scelto un livello di aggregazione che rendesse facilmente comprensibile l’esito del lavoro: ossia l’Unità Previsionale di Base (UPB), il Servizio e l’Area funzionale.</w:t>
      </w:r>
    </w:p>
    <w:p w:rsidR="00305358" w:rsidRPr="006E6890" w:rsidRDefault="00305358" w:rsidP="0030535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In questo lavoro è stata operata la lettura del rendiconto avendo in mente i dati forniti dalla Relazione di gestione, ed è stata effettuata la classificazione di genere secondo lo schema rappresentato nella matrice seguente:</w:t>
      </w:r>
    </w:p>
    <w:p w:rsidR="00305358" w:rsidRPr="006E6890" w:rsidRDefault="00305358" w:rsidP="00305358">
      <w:pPr>
        <w:spacing w:after="200"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920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276"/>
        <w:gridCol w:w="992"/>
        <w:gridCol w:w="1134"/>
        <w:gridCol w:w="993"/>
        <w:gridCol w:w="1100"/>
        <w:gridCol w:w="1309"/>
        <w:gridCol w:w="1134"/>
      </w:tblGrid>
      <w:tr w:rsidR="00305358" w:rsidRPr="006E6890" w:rsidTr="00384825">
        <w:trPr>
          <w:trHeight w:val="401"/>
          <w:jc w:val="center"/>
        </w:trPr>
        <w:tc>
          <w:tcPr>
            <w:tcW w:w="3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Relazione di gestione </w:t>
            </w:r>
          </w:p>
        </w:tc>
        <w:tc>
          <w:tcPr>
            <w:tcW w:w="3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Rendiconto </w:t>
            </w:r>
          </w:p>
        </w:tc>
        <w:tc>
          <w:tcPr>
            <w:tcW w:w="2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FCBE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Classificazione di genere </w:t>
            </w:r>
          </w:p>
        </w:tc>
      </w:tr>
      <w:tr w:rsidR="00305358" w:rsidRPr="006E6890" w:rsidTr="00384825">
        <w:trPr>
          <w:trHeight w:val="1539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Obiettivo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Program-ma/ progetto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Realiz-zazioni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Capitoli di spesa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E6890">
              <w:rPr>
                <w:rFonts w:asciiTheme="minorHAnsi" w:hAnsiTheme="minorHAnsi" w:cstheme="minorHAnsi"/>
                <w:b/>
                <w:bCs/>
              </w:rPr>
              <w:t>U.P.B.</w:t>
            </w:r>
            <w:proofErr w:type="spellEnd"/>
            <w:r w:rsidRPr="006E689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Spesa Totale (Paga-menti)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FCBE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Tipologia di ricaduta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FCBE"/>
            <w:tcMar>
              <w:top w:w="72" w:type="dxa"/>
              <w:left w:w="131" w:type="dxa"/>
              <w:bottom w:w="72" w:type="dxa"/>
              <w:right w:w="131" w:type="dxa"/>
            </w:tcMar>
            <w:vAlign w:val="center"/>
          </w:tcPr>
          <w:p w:rsidR="00305358" w:rsidRPr="006E6890" w:rsidRDefault="00305358" w:rsidP="00384825">
            <w:pPr>
              <w:rPr>
                <w:rFonts w:asciiTheme="minorHAnsi" w:hAnsiTheme="minorHAnsi" w:cstheme="minorHAnsi"/>
                <w:b/>
                <w:bCs/>
              </w:rPr>
            </w:pPr>
            <w:r w:rsidRPr="006E6890">
              <w:rPr>
                <w:rFonts w:asciiTheme="minorHAnsi" w:hAnsiTheme="minorHAnsi" w:cstheme="minorHAnsi"/>
                <w:b/>
                <w:bCs/>
              </w:rPr>
              <w:t xml:space="preserve">Criticità </w:t>
            </w:r>
          </w:p>
        </w:tc>
      </w:tr>
      <w:tr w:rsidR="00305358" w:rsidRPr="006E6890" w:rsidTr="00384825">
        <w:trPr>
          <w:trHeight w:val="479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FF93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99FF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FCBE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FCBE"/>
            <w:tcMar>
              <w:top w:w="72" w:type="dxa"/>
              <w:left w:w="131" w:type="dxa"/>
              <w:bottom w:w="72" w:type="dxa"/>
              <w:right w:w="131" w:type="dxa"/>
            </w:tcMar>
          </w:tcPr>
          <w:p w:rsidR="00305358" w:rsidRPr="006E6890" w:rsidRDefault="00305358" w:rsidP="0038482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05358" w:rsidRPr="006E6890" w:rsidRDefault="00305358" w:rsidP="0030535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I dati ricavati sono poi stati aggregati per Servizio e sommati per Area – in particolare, sono state prese in considerazione le Aree Funzionali 2 e 5 dell’organizzazione regionale – giungendo alla quantificazione della spesa per ciascuna delle categorie citate.</w:t>
      </w:r>
    </w:p>
    <w:p w:rsidR="00305358" w:rsidRPr="006E6890" w:rsidRDefault="00305358" w:rsidP="0030535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mallCaps/>
          <w:sz w:val="22"/>
          <w:szCs w:val="22"/>
        </w:rPr>
        <w:lastRenderedPageBreak/>
        <w:t>G</w:t>
      </w:r>
      <w:r w:rsidRPr="007359A7">
        <w:rPr>
          <w:rFonts w:asciiTheme="minorHAnsi" w:hAnsiTheme="minorHAnsi" w:cstheme="minorHAnsi"/>
          <w:sz w:val="22"/>
          <w:szCs w:val="22"/>
        </w:rPr>
        <w:t>razie alla elaborazione dei dati di bilancio e alla loro aggregazione secondo i criteri precedentemente esposti, per ciascun Servizio e per ciascuna annualità, si propone un vero e proprio bilancio di genere, presentando la composizione della spesa per rilevanza di genere.</w:t>
      </w:r>
    </w:p>
    <w:p w:rsidR="00305358" w:rsidRPr="007359A7" w:rsidRDefault="00305358" w:rsidP="0030535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05358" w:rsidRPr="007359A7" w:rsidRDefault="00305358" w:rsidP="0030535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Ad essa sono associati dei grafici che sintetizzano le informazioni secondo due chiavi di lettura: la prima semplicemente rende in forma grafica la riclassificazione presentata nelle tabelle; la seconda, invece, somma gli interventi, sia di contesto che indiretti, ritenuti a forte rilevanza di genere. L’obiettivo è evidenziare a quale quota dell’intera spesa essi corrispondano.</w:t>
      </w:r>
    </w:p>
    <w:p w:rsidR="00305358" w:rsidRPr="007359A7" w:rsidRDefault="00305358" w:rsidP="00305358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59A7">
        <w:rPr>
          <w:rFonts w:asciiTheme="minorHAnsi" w:hAnsiTheme="minorHAnsi" w:cstheme="minorHAnsi"/>
          <w:sz w:val="22"/>
          <w:szCs w:val="22"/>
        </w:rPr>
        <w:t>Inoltre, i grafici vengono presentati affiancati per le due annualità esaminate per motivi di sintesi. Essi non vanno tuttavia confrontati direttamente: in altri termini non è corretto comparare le percentuali che vi vengono esposte al fine di ricavarne informazioni circa l’aumento o la diminuzione - nei due anni – di determinate quantità; i dati risentono infatti fortemente dell’andamento dell’attuazione della programmazione regionale, con lo sfalsamento temporale della spesa, rispetto all’implementazione dell’azione relativa, dovuto ai tempi tecnici.</w:t>
      </w:r>
    </w:p>
    <w:p w:rsidR="00D92373" w:rsidRDefault="00D92373"/>
    <w:sectPr w:rsidR="00D92373" w:rsidSect="00D923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5B6"/>
    <w:multiLevelType w:val="hybridMultilevel"/>
    <w:tmpl w:val="3D9A98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174A9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5358"/>
    <w:rsid w:val="00273086"/>
    <w:rsid w:val="00305358"/>
    <w:rsid w:val="003310E8"/>
    <w:rsid w:val="003754E3"/>
    <w:rsid w:val="003D23C6"/>
    <w:rsid w:val="0048244C"/>
    <w:rsid w:val="00517238"/>
    <w:rsid w:val="005C09A4"/>
    <w:rsid w:val="00661F76"/>
    <w:rsid w:val="00721520"/>
    <w:rsid w:val="00752026"/>
    <w:rsid w:val="00796519"/>
    <w:rsid w:val="00813AD0"/>
    <w:rsid w:val="00876FD5"/>
    <w:rsid w:val="009266A9"/>
    <w:rsid w:val="009F577C"/>
    <w:rsid w:val="00A762C2"/>
    <w:rsid w:val="00B46CBA"/>
    <w:rsid w:val="00B50D88"/>
    <w:rsid w:val="00C5157F"/>
    <w:rsid w:val="00D20F52"/>
    <w:rsid w:val="00D92373"/>
    <w:rsid w:val="00EC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rpbari</dc:creator>
  <cp:lastModifiedBy>rpbari</cp:lastModifiedBy>
  <cp:revision>1</cp:revision>
  <dcterms:created xsi:type="dcterms:W3CDTF">2013-03-20T12:11:00Z</dcterms:created>
  <dcterms:modified xsi:type="dcterms:W3CDTF">2013-03-20T12:11:00Z</dcterms:modified>
</cp:coreProperties>
</file>